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PROTOCOLO ICM 15/85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no DOU. </w:t>
      </w:r>
      <w:proofErr w:type="gramStart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29.07.85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Alterado pelo Prot. ICM </w:t>
      </w:r>
      <w:hyperlink r:id="rId4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09/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86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Hlt55203278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"https://www.confaz.fazenda.gov.br/legislacao/protocolos/icms/1987/pt010_87" </w:instrTex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 xml:space="preserve">10/ </w:t>
      </w:r>
      <w:bookmarkStart w:id="1" w:name="_Hlt55203282"/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 xml:space="preserve">8 7 </w:t>
      </w:r>
      <w:bookmarkEnd w:id="0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1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ICMS </w:t>
      </w:r>
      <w:hyperlink r:id="rId5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49/91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6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06/98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MS e SC pelo Prot. ICM </w:t>
      </w:r>
      <w:hyperlink r:id="rId7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26/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85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01.11.85, salvo em relação às operações interestaduais que destinem mercadoria a SC, caso em que vigorará a partir de 01.01.86.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8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27/85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MG para RJ, aplicando-se, no que </w:t>
      </w:r>
      <w:proofErr w:type="gramStart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couber 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normas deste protocolo.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9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28/85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PR para RJ, aplicando-se, no que </w:t>
      </w:r>
      <w:proofErr w:type="gramStart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couber 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normas deste Protocolo.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10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39/85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PR para SC, aplicando-se, no que </w:t>
      </w:r>
      <w:proofErr w:type="gramStart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couber 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normas deste Protocolo.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RN pelo Prot. ICM </w:t>
      </w:r>
      <w:hyperlink r:id="rId11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38/8 </w:t>
        </w:r>
        <w:bookmarkStart w:id="2" w:name="_Hlt489362542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5 </w:t>
        </w:r>
      </w:hyperlink>
      <w:bookmarkEnd w:id="2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01.11.85.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PB pelo Prot. ICM </w:t>
      </w:r>
      <w:hyperlink r:id="rId12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 </w:t>
        </w:r>
        <w:bookmarkStart w:id="3" w:name="_Hlt489362575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4/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86 </w:t>
        </w:r>
      </w:hyperlink>
      <w:bookmarkEnd w:id="3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01.06.86.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Excluído RN pelo Prot. ICM </w:t>
      </w:r>
      <w:hyperlink r:id="rId13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19/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87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26.08.87.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14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08/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88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identifica os produtos abrangidas pelo regime com o respectivo código da NBM.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PA pelo Prot. ICM </w:t>
      </w:r>
      <w:hyperlink r:id="rId15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5 </w:t>
        </w:r>
        <w:bookmarkStart w:id="4" w:name="_Hlt489362607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6/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91 </w:t>
        </w:r>
      </w:hyperlink>
      <w:bookmarkEnd w:id="4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01.01.92.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AL e CE pelo Prot. ICMS </w:t>
      </w:r>
      <w:bookmarkStart w:id="5" w:name="_Hlt55203644"/>
      <w:bookmarkEnd w:id="5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"https://www.confaz.fazenda.gov.br/legislacao/protocolos/icms/1994/pt015_94" </w:instrTex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 xml:space="preserve">1 </w:t>
      </w:r>
      <w:bookmarkStart w:id="6" w:name="_Hlt489362633"/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>5/</w:t>
      </w:r>
      <w:proofErr w:type="gramStart"/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 xml:space="preserve">94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bookmarkEnd w:id="6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01.01.95.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Reintegrado o RN pelo Prot. ICMS </w:t>
      </w:r>
      <w:hyperlink r:id="rId16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16/9 </w:t>
        </w:r>
        <w:bookmarkStart w:id="7" w:name="_Hlt489362663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6 </w:t>
        </w:r>
      </w:hyperlink>
      <w:bookmarkEnd w:id="7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01.10.96.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Excluído SC pelo Prot. ICMS </w:t>
      </w:r>
      <w:hyperlink r:id="rId17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20/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96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01.10.96.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da BA e SE pelo Prot. ICMS </w:t>
      </w:r>
      <w:hyperlink r:id="rId18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14/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97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01.08.97.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MG pelo Prot. ICMS </w:t>
      </w:r>
      <w:hyperlink r:id="rId19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1 </w:t>
        </w:r>
        <w:bookmarkStart w:id="8" w:name="_Hlt489362746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7/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98 </w:t>
        </w:r>
      </w:hyperlink>
      <w:bookmarkEnd w:id="8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01.07.98.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ES pelo Prot. ICMS </w:t>
      </w:r>
      <w:bookmarkStart w:id="9" w:name="_Hlt489362777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"https://www.confaz.fazenda.gov.br/legislacao/protocolos/icms/1998/pt027_98" </w:instrTex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>27/</w:t>
      </w:r>
      <w:proofErr w:type="gramStart"/>
      <w:r w:rsidRPr="00920DA2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pt-BR"/>
        </w:rPr>
        <w:t xml:space="preserve">98 </w:t>
      </w:r>
      <w:bookmarkEnd w:id="9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01.09.98.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PR pelo Prot. ICMS </w:t>
      </w:r>
      <w:hyperlink r:id="rId20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3 </w:t>
        </w:r>
        <w:bookmarkStart w:id="10" w:name="_Hlt439136354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5 /9 </w:t>
        </w:r>
        <w:bookmarkStart w:id="11" w:name="_Hlt439136346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8 </w:t>
        </w:r>
      </w:hyperlink>
      <w:bookmarkEnd w:id="10"/>
      <w:bookmarkEnd w:id="11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01.02.99.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AP, RS e RO </w:t>
      </w:r>
      <w:bookmarkStart w:id="12" w:name="_Hlt451653461"/>
      <w:bookmarkEnd w:id="12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Prot. ICMS </w:t>
      </w:r>
      <w:hyperlink r:id="rId21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05 </w:t>
        </w:r>
        <w:bookmarkStart w:id="13" w:name="_Hlt450971039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/9 </w:t>
        </w:r>
        <w:bookmarkStart w:id="14" w:name="_Hlt450971016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 </w:t>
        </w:r>
      </w:hyperlink>
      <w:bookmarkEnd w:id="13"/>
      <w:bookmarkEnd w:id="14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01.06.99.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MA e TO pelo Prot. ICMS </w:t>
      </w:r>
      <w:hyperlink r:id="rId22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27/9 </w:t>
        </w:r>
        <w:bookmarkStart w:id="15" w:name="_Hlt474753041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9 </w:t>
        </w:r>
      </w:hyperlink>
      <w:bookmarkEnd w:id="15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01.01.00.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PE pelo Prot. ICMS </w:t>
      </w:r>
      <w:hyperlink r:id="rId23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08/0 </w:t>
        </w:r>
        <w:bookmarkStart w:id="16" w:name="_Hlt482075985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 </w:t>
        </w:r>
      </w:hyperlink>
      <w:bookmarkEnd w:id="16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01.05.00.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lastRenderedPageBreak/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PI pelo Prot. ICMS </w:t>
      </w:r>
      <w:hyperlink r:id="rId24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15/0 </w:t>
        </w:r>
        <w:bookmarkStart w:id="17" w:name="_Hlt489363828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 </w:t>
        </w:r>
      </w:hyperlink>
      <w:bookmarkEnd w:id="17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 </w:t>
      </w:r>
      <w:bookmarkStart w:id="18" w:name="_Hlt489363835"/>
      <w:bookmarkEnd w:id="18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MT pelo Prot. ICMS </w:t>
      </w:r>
      <w:hyperlink r:id="rId25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16 </w:t>
        </w:r>
        <w:bookmarkStart w:id="19" w:name="_Hlt489863380"/>
        <w:bookmarkStart w:id="20" w:name="_Hlt489863227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/ 0 </w:t>
        </w:r>
        <w:bookmarkStart w:id="21" w:name="_Hlt489363904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 </w:t>
        </w:r>
      </w:hyperlink>
      <w:bookmarkEnd w:id="19"/>
      <w:bookmarkEnd w:id="20"/>
      <w:bookmarkEnd w:id="21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01.09.00.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AC pelo Prot. ICMS </w:t>
      </w:r>
      <w:hyperlink r:id="rId26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2 </w:t>
        </w:r>
        <w:bookmarkStart w:id="22" w:name="_Hlt489864053"/>
        <w:bookmarkStart w:id="23" w:name="_Hlt489863791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4 /0 </w:t>
        </w:r>
        <w:bookmarkStart w:id="24" w:name="_Hlt489365917"/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 </w:t>
        </w:r>
      </w:hyperlink>
      <w:bookmarkEnd w:id="22"/>
      <w:bookmarkEnd w:id="23"/>
      <w:bookmarkEnd w:id="24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01.10.00.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RR pelo Prot. ICMS </w:t>
      </w:r>
      <w:hyperlink r:id="rId27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3 </w:t>
        </w:r>
        <w:bookmarkStart w:id="25" w:name="_Hlt490279239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3 </w:t>
        </w:r>
        <w:bookmarkStart w:id="26" w:name="_Hlt489868404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/ 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00 </w:t>
        </w:r>
      </w:hyperlink>
      <w:bookmarkEnd w:id="25"/>
      <w:bookmarkEnd w:id="26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01.09.00. </w:t>
      </w:r>
    </w:p>
    <w:p w:rsid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DF </w:t>
      </w:r>
      <w:bookmarkStart w:id="27" w:name="_Hlt23223418"/>
      <w:bookmarkEnd w:id="27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Prot. ICMS </w:t>
      </w:r>
      <w:hyperlink r:id="rId28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46/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02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01.01.03.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Excluído BA pelo Prot. ICMS 108/14, efeitos a partir de 01.01.2015.</w:t>
      </w:r>
      <w:bookmarkStart w:id="28" w:name="_GoBack"/>
      <w:bookmarkEnd w:id="28"/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9" w:name="_Hlt445613878"/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Restabelecida a aplicação deste Protocolo pelo Decreto nº 52.428/07, do Estado de SP, em relação às operações interestaduais realizadas por contribuintes de SP e destinadas a contribuintes do RJ, conforme Despacho nº </w:t>
      </w:r>
      <w:hyperlink r:id="rId29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46/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08 </w:t>
        </w:r>
        <w:bookmarkEnd w:id="29"/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01.01.08.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Symbol" w:eastAsia="Symbol" w:hAnsi="Symbol" w:cs="Symbol"/>
          <w:sz w:val="24"/>
          <w:szCs w:val="24"/>
          <w:lang w:eastAsia="pt-BR"/>
        </w:rPr>
        <w:t></w:t>
      </w:r>
      <w:r w:rsidRPr="00920DA2">
        <w:rPr>
          <w:rFonts w:ascii="Symbol" w:eastAsia="Symbol" w:hAnsi="Symbol" w:cs="Symbol"/>
          <w:sz w:val="24"/>
          <w:szCs w:val="24"/>
          <w:lang w:eastAsia="pt-BR"/>
        </w:rPr>
        <w:t></w:t>
      </w:r>
      <w:r w:rsidRPr="00920DA2">
        <w:rPr>
          <w:rFonts w:ascii="Times New Roman" w:eastAsia="Symbol" w:hAnsi="Times New Roman" w:cs="Times New Roman"/>
          <w:sz w:val="14"/>
          <w:szCs w:val="14"/>
          <w:lang w:eastAsia="pt-BR"/>
        </w:rPr>
        <w:t xml:space="preserve">   </w:t>
      </w:r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SC pelo Prot. ICMS </w:t>
      </w:r>
      <w:hyperlink r:id="rId30" w:history="1"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31/</w:t>
        </w:r>
        <w:proofErr w:type="gramStart"/>
        <w:r w:rsidRPr="00920DA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 xml:space="preserve">08 </w:t>
        </w:r>
      </w:hyperlink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01.06.08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val="pt-PT" w:eastAsia="pt-BR"/>
        </w:rPr>
        <w:t xml:space="preserve">Dispõe sobre a substituição tributária nas </w:t>
      </w:r>
      <w:bookmarkStart w:id="30" w:name="_Hlt489362803"/>
      <w:bookmarkEnd w:id="30"/>
      <w:r w:rsidRPr="00920DA2">
        <w:rPr>
          <w:rFonts w:ascii="Times New Roman" w:eastAsia="Times New Roman" w:hAnsi="Times New Roman" w:cs="Arial"/>
          <w:sz w:val="20"/>
          <w:szCs w:val="20"/>
          <w:lang w:val="pt-PT" w:eastAsia="pt-BR"/>
        </w:rPr>
        <w:t xml:space="preserve">operações com filme fotográfico e cinematográfico e “slide”.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Os Estados de Amazonas, Rio de Janeiro e São Paulo, neste ato representados pelos seus Secretários de Fazenda ou Finanças, tendo em vista o disposto no § 4º do artigo 6º do Decreto-lei nº 406, de 31 de dezembro de 1968, acrescentado pela Lei Complementar nº 44, de 07 de dezembro de 1983, resolvem celebrar o seguinte </w:t>
      </w:r>
      <w:bookmarkStart w:id="31" w:name="_Hlt478528945"/>
      <w:bookmarkEnd w:id="31"/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PROTOCOLO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ao </w:t>
      </w:r>
      <w:r w:rsidRPr="00920DA2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 xml:space="preserve">caput </w:t>
      </w: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cláusula primeira pelo Prot. ICMS 06/98, efeitos a partir de 26.03.98.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primeira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Nas operações interestaduais com filme fotográfico e cinematográfico e “slide” entre contribuintes situados nos Estados signatários deste Protocolo, fica atribuída ao estabelecimento industrial, na qualidade de sujeito passivo por substituição, a responsabilidade pela retenção e recolhimento do Imposto sobre Operações Relativas à Circulação de Mercadorias e de Prestação de Serviços de Transporte Interestadual e Intermunicipal e de Comunicação - ICMS, relativo às saídas </w:t>
      </w:r>
      <w:proofErr w:type="spellStart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>subseqüentes</w:t>
      </w:r>
      <w:proofErr w:type="spellEnd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, bem como à entrada destinada a uso ou consumo estabelecimento destinatário, exceto em relação às operações que destinem o produto ao Estado de São Paulo.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Redação original, </w:t>
      </w: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efeitos até 25.03.98.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Cláusula primeira Nas operações interestaduais com filme fotográfico e cinematográfico e “slide”, entre contribuintes situados nos Estados signatários deste Protocolo, fica atribuída ao estabelecimento industrial, na qualidade de contribuinte substituto do Imposto sobre Circulação de Mercadorias relativo às operações </w:t>
      </w:r>
      <w:proofErr w:type="spellStart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subseqüentes</w:t>
      </w:r>
      <w:proofErr w:type="spell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, realizadas por estabelecimento atacadista ou </w:t>
      </w:r>
      <w:proofErr w:type="gramStart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varejista .</w:t>
      </w:r>
      <w:proofErr w:type="gram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1º O regime de que t </w:t>
      </w:r>
      <w:bookmarkStart w:id="32" w:name="_Hlt482075916"/>
      <w:bookmarkEnd w:id="32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rata este Protocolo não se aplica à transferência de mercadoria entre estabelecimentos da empresa industrial, nem às operações entre contribuintes substitutos industriais.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2º Na hipótese do parágrafo anterior, a substituição tributária caberá ao estabelecimento da empresa industrial ou ao contribuinte substituto destinatário que promover a saída da mercadoria para estabelecimento de pessoa diversa.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lastRenderedPageBreak/>
        <w:t xml:space="preserve">Cláusula segunda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No caso de operação interestadual realizada por distribuidor, depósito ou estabelecimento atacadista com mercadoria a que se refere este Protocolo, a substituição tributária caberá ao remetente, mesmo que o imposto já tenha sido retido anteriormente.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1º Na hipótese desta cláusula, o distribuidor, o depósito ou o estabelecimento atacadista emitirá nota fiscal para efeito de ressarcimento, junto ao estabelecimento que tenha efetuado a primeira retenção, do valor do imposto retido em favor do Estado de destino, acompanhada de cópia do respectivo documento de arrecadação.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2º O estabelecimento que efetuou a primeira retenção poderá deduzir, do próximo recolhimento ao Estado de origem, a importância do imposto retido a que se refere o parágrafo anterior, desde que disponha dos documentos ali mencionados.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terceira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 imposto retido pelo contribuinte substituto será calculado mediante a aplicação da alíquota vigente nas operações internas sobre o preço máximo de venda a </w:t>
      </w:r>
      <w:proofErr w:type="spellStart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>a</w:t>
      </w:r>
      <w:proofErr w:type="spellEnd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 varejo fixado pela autoridade federal competente, deduzindo-se, do valor obtido, o imposto devido pela operação do próprio fabricante.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quarta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No caso de não haver preço máximo de venda a varejo fixado nos termos da cláusula anterior, o imposto retido pelo contribuinte substituto será calculado da seguinte maneira: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I - ao montante formado pelo preço praticado pelo remetente nas operações com o comércio varejista, neste preço incluídos o valor do Imposto sobre Produtos Industrializados, o frete e/ou carreto até o estabelecimento varejista e demais despesas debitadas ao destinatário, será adicionada a parcela resultante da aplicação, sobre o referido montante, do percentual de 40% (quarenta por cento);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II - aplicar-se-á a alíquota vigente nas operações internas sobre o resultado obtido consoante o inciso anterior;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III - do valor encontrado no inciso II será deduzido o imposto devido pela operação do próprio remetente.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1º O valor inicial para o cálculo mencionado no inciso I será o preço praticado pelo distribuidor ou atacadista, quando o estabelecimento industrial não realizar operações diretamente com o comércio varejista.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2º Na remessa para a Zona Franca de Manaus, será deduzido o imposto relativo à operação do remetente, a que se refere o inciso III desta cláusula, ainda que não cobrado em virtude do incentivo fiscal.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a cláusula quinta pelo Prot. ICMS 49/91, efeitos a partir de 01.01.92.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quinta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 imposto retido pelo sujeito passivo por substituição será recolhido em banco oficial estadual signatário do Convênio patrocinado pela Associação Brasileira de Bancos Comerciais Estaduais, até o dia nove do mês </w:t>
      </w:r>
      <w:proofErr w:type="spellStart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>subseqüente</w:t>
      </w:r>
      <w:proofErr w:type="spellEnd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 ao da remessa da mercadoria, mediante a Guia Nacional de Recolhimento de Tributos Estaduais.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Redação </w:t>
      </w:r>
      <w:proofErr w:type="gramStart"/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anterior </w:t>
      </w: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dada a cláusula quinta pelo Prot. ICM 10/87 , efeitos de 01.08.87 a 31.12.92.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Cláusula quinta O imposto retido pelo contribuinte substituto será recolhido até o último dia útil do mês </w:t>
      </w:r>
      <w:proofErr w:type="spellStart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subseqüente</w:t>
      </w:r>
      <w:proofErr w:type="spell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ao da saída da mercadoria, em banco oficial estadual, signatário do convênio patrocinado pela Associação Brasileira de Bancos Comerciais e Estaduais ou que ao mesmo vier a aderir.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lastRenderedPageBreak/>
        <w:t xml:space="preserve">Parágrafo único. O recolhimento em favor do Estado do Mato Grosso do Sul será feito nos Bancos por ele credenciados.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Redação </w:t>
      </w:r>
      <w:proofErr w:type="gramStart"/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anterior </w:t>
      </w: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dada a clausula quinta pelo Prot. ICM 09/86 , efeitos de 01.09.86 a 31.07.87.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Cláusula quinta O imposto retido pelo contribuinte substituto será recolhido em banco oficial estadual, signatário do convênio patrocinado pela Associação Brasileira de Bancos Comerciais Estaduais - ASBACE, publicado em anexo, ou que ao mesmo vier a aderir, no prazo de 60 (sessenta) dias após o mês da saída, mediante impresso fornecido pela Secretaria de Fazenda ou Finanças do Estado de destino (endereços anexos).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Parágrafo único. O recolhimento em favor do Estado do Mato Grosso do Sul será feito nos Bancos por ele credenciados.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Redação </w:t>
      </w:r>
      <w:proofErr w:type="gramStart"/>
      <w:r w:rsidRPr="00920DA2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original </w:t>
      </w: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efeitos até 31.08.86.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Cláusula quinta O imposto retido pelo contribuinte substituto será recolhido no Banco do Brasil S.A. ou em banco oficial do Estado de origem ou de destino, no prazo de 60 (sessenta) dias após o mês da saída, mediante impresso fornecido pela Secretaria de Fazenda ou Finanças do Estado de destino (endereços anexos).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sexta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Por ocasião da saída da mercadoria, o contribuinte substituto emitirá nota fiscal que contenha, além das indicações exigidas na legislação, o valor que serviu de base de cálculo para a retenção e o valor do imposto retido.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sétima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 Estado de destino pode atribuir ao contribuinte substituto número de inscrição e código de atividade econômica no seu cadastro de contribuintes.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1º O número de inscrição a que se refere esta cláusula deve ser aposto em todo documento dirigido ao Estado de destino, inclusive no documento de arrecadação.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2º Para os fins previstos no </w:t>
      </w:r>
      <w:proofErr w:type="gramStart"/>
      <w:r w:rsidRPr="00920DA2">
        <w:rPr>
          <w:rFonts w:ascii="Times New Roman" w:eastAsia="Times New Roman" w:hAnsi="Times New Roman" w:cs="Arial"/>
          <w:i/>
          <w:sz w:val="20"/>
          <w:szCs w:val="20"/>
          <w:lang w:eastAsia="pt-BR"/>
        </w:rPr>
        <w:t xml:space="preserve">caput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>,</w:t>
      </w:r>
      <w:proofErr w:type="gramEnd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 o contribuinte substituto remeterá à Secretaria de Fazenda ou Finanças do Estado de destino: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1. cópia do instrumento constitutivo da empresa;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2. cópia do documento de inscrição no Cadastro Geral de Contribuintes do Ministério da Fazenda - CGC.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§ 3º A remessa dos documentos pode ser feita por via postal para os endereços citados em anexo.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oitava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 contribuinte substituto informará à Secretaria de Fazenda ou Finanças do Estado de destino, até o dia 15 (quinze) de cada mês, o montante das operações abrangidas por este Protocolo, efetuadas no mês anterior, bem como o valor total do imposto retido.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Parágrafo único. O Estado de destino poderá instituir documento próprio para a apresentação das informações a que se refere esta cláusula.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nona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Para os efeitos legais, considera-se como crédito tributário do Estado de destino o imposto retido, bem como a respectiva atualização monetária e os acréscimos penais e moratórios.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décima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Mediante ciência ao Estado de origem, a fiscalização do contribuinte substituto, quanto às operações previstas neste Protocolo, será feita pelo Estado destinatário, o mesmo ocorrendo em relação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lastRenderedPageBreak/>
        <w:t xml:space="preserve">à autuação e execução fiscal, podendo, no entanto, serem efetuadas pelo Estado de origem, ou em conjunto, por solicitação ou acordo entre os Estados interessados.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decima primeira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Os Estados signatários adotarão o regime de substituição tributária também nas operações internas com as mercadorias de que trata este Protocolo, observado o mesmo percentual.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b/>
          <w:sz w:val="20"/>
          <w:szCs w:val="20"/>
          <w:lang w:eastAsia="pt-BR"/>
        </w:rPr>
        <w:t xml:space="preserve">Cláusula décima segunda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Este Protocolo entrará em vigor na data de sua publicação no Diário Oficial da União, produzindo efeitos a partir de 1º de outubro de 1985, revogadas as disposições em contrário.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Brasília, DF, em 25 de julho de 1985. </w:t>
      </w:r>
    </w:p>
    <w:p w:rsidR="00920DA2" w:rsidRPr="00920DA2" w:rsidRDefault="00920DA2" w:rsidP="0092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Arial" w:eastAsia="Times New Roman" w:hAnsi="Arial" w:cs="Arial"/>
          <w:sz w:val="20"/>
          <w:szCs w:val="20"/>
          <w:lang w:eastAsia="pt-BR"/>
        </w:rPr>
        <w:br w:type="page"/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lastRenderedPageBreak/>
        <w:t xml:space="preserve">ANEXO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RIO DE JANEIRO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Superintendência de Planejamento Fiscal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Rua Buenos Aires, 29 - </w:t>
      </w:r>
      <w:proofErr w:type="gramStart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5 </w:t>
      </w:r>
      <w:r w:rsidRPr="00920DA2">
        <w:rPr>
          <w:rFonts w:ascii="Arial" w:eastAsia="Times New Roman" w:hAnsi="Arial" w:cs="Arial"/>
          <w:sz w:val="20"/>
          <w:szCs w:val="20"/>
          <w:lang w:eastAsia="pt-BR"/>
        </w:rPr>
        <w:sym w:font="Courier New" w:char="F0BA"/>
      </w:r>
      <w:r w:rsidRPr="00920DA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>andar</w:t>
      </w:r>
      <w:proofErr w:type="gramEnd"/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20070 - Rio de Janeiro - RJ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SÃO PAULO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Coordenação de Administração Tributária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Av. Rangel Pestana, 300 - 8º andar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01091 - São Paulo - SP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AMAZONAS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Av. André Araújo - 150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Bairro do Aleixo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Secretaria da Fazenda </w:t>
      </w:r>
    </w:p>
    <w:p w:rsidR="00920DA2" w:rsidRPr="00920DA2" w:rsidRDefault="00920DA2" w:rsidP="00920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DA2">
        <w:rPr>
          <w:rFonts w:ascii="Times New Roman" w:eastAsia="Times New Roman" w:hAnsi="Times New Roman" w:cs="Arial"/>
          <w:sz w:val="20"/>
          <w:szCs w:val="20"/>
          <w:lang w:eastAsia="pt-BR"/>
        </w:rPr>
        <w:t xml:space="preserve">69000 - Manaus - AM </w:t>
      </w:r>
    </w:p>
    <w:p w:rsidR="00F23C0E" w:rsidRDefault="00F23C0E"/>
    <w:sectPr w:rsidR="00F23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A2"/>
    <w:rsid w:val="00920DA2"/>
    <w:rsid w:val="00F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501F-46B9-4E2C-B131-07F6CB6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cordo">
    <w:name w:val="tituloacord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920DA2"/>
  </w:style>
  <w:style w:type="character" w:styleId="Hyperlink">
    <w:name w:val="Hyperlink"/>
    <w:basedOn w:val="Fontepargpadro"/>
    <w:uiPriority w:val="99"/>
    <w:semiHidden/>
    <w:unhideWhenUsed/>
    <w:rsid w:val="00920DA2"/>
    <w:rPr>
      <w:color w:val="0000FF"/>
      <w:u w:val="single"/>
    </w:rPr>
  </w:style>
  <w:style w:type="paragraph" w:customStyle="1" w:styleId="ementa">
    <w:name w:val="ementa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misso">
    <w:name w:val="remiss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missoant">
    <w:name w:val="remissoant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ant">
    <w:name w:val="redaoant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">
    <w:name w:val="subtitulo"/>
    <w:basedOn w:val="Normal"/>
    <w:rsid w:val="0092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az.fazenda.gov.br/legislacao/protocolos/icms/1985/pt027_85" TargetMode="External"/><Relationship Id="rId13" Type="http://schemas.openxmlformats.org/officeDocument/2006/relationships/hyperlink" Target="https://www.confaz.fazenda.gov.br/legislacao/protocolos/icms/1987/pt019_87" TargetMode="External"/><Relationship Id="rId18" Type="http://schemas.openxmlformats.org/officeDocument/2006/relationships/hyperlink" Target="https://www.confaz.fazenda.gov.br/legislacao/protocolos/icms/1997/pt014_97" TargetMode="External"/><Relationship Id="rId26" Type="http://schemas.openxmlformats.org/officeDocument/2006/relationships/hyperlink" Target="https://www.confaz.fazenda.gov.br/legislacao/protocolos/icms/2000/pt024_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faz.fazenda.gov.br/legislacao/protocolos/icms/1999/pt005_99" TargetMode="External"/><Relationship Id="rId7" Type="http://schemas.openxmlformats.org/officeDocument/2006/relationships/hyperlink" Target="https://www.confaz.fazenda.gov.br/legislacao/protocolos/icms/1985/pt026_85" TargetMode="External"/><Relationship Id="rId12" Type="http://schemas.openxmlformats.org/officeDocument/2006/relationships/hyperlink" Target="https://www.confaz.fazenda.gov.br/legislacao/protocolos/icms/1986/pt004_86" TargetMode="External"/><Relationship Id="rId17" Type="http://schemas.openxmlformats.org/officeDocument/2006/relationships/hyperlink" Target="https://www.confaz.fazenda.gov.br/legislacao/protocolos/icms/1996/pt020_96" TargetMode="External"/><Relationship Id="rId25" Type="http://schemas.openxmlformats.org/officeDocument/2006/relationships/hyperlink" Target="https://www.confaz.fazenda.gov.br/legislacao/protocolos/icms/2000/pt016_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faz.fazenda.gov.br/legislacao/protocolos/icms/1996/pt016_96" TargetMode="External"/><Relationship Id="rId20" Type="http://schemas.openxmlformats.org/officeDocument/2006/relationships/hyperlink" Target="https://www.confaz.fazenda.gov.br/legislacao/protocolos/icms/1998/pt035_98" TargetMode="External"/><Relationship Id="rId29" Type="http://schemas.openxmlformats.org/officeDocument/2006/relationships/hyperlink" Target="https://www.confaz.fazenda.gov.br/legislacao/despachos-do-secretario-executivo/2008/dp046_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faz.fazenda.gov.br/legislacao/protocolos/icms/1998/pt006_98" TargetMode="External"/><Relationship Id="rId11" Type="http://schemas.openxmlformats.org/officeDocument/2006/relationships/hyperlink" Target="https://www.confaz.fazenda.gov.br/legislacao/protocolos/icms/1985/pt038_85" TargetMode="External"/><Relationship Id="rId24" Type="http://schemas.openxmlformats.org/officeDocument/2006/relationships/hyperlink" Target="https://www.confaz.fazenda.gov.br/legislacao/protocolos/icms/2000/pt015_0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faz.fazenda.gov.br/legislacao/protocolos/icms/1991/pt049_91" TargetMode="External"/><Relationship Id="rId15" Type="http://schemas.openxmlformats.org/officeDocument/2006/relationships/hyperlink" Target="https://www.confaz.fazenda.gov.br/legislacao/protocolos/icms/1991/pt056_91" TargetMode="External"/><Relationship Id="rId23" Type="http://schemas.openxmlformats.org/officeDocument/2006/relationships/hyperlink" Target="https://www.confaz.fazenda.gov.br/legislacao/protocolos/icms/2000/pt008_00" TargetMode="External"/><Relationship Id="rId28" Type="http://schemas.openxmlformats.org/officeDocument/2006/relationships/hyperlink" Target="https://www.confaz.fazenda.gov.br/legislacao/protocolos/icms/2002/pt046_02" TargetMode="External"/><Relationship Id="rId10" Type="http://schemas.openxmlformats.org/officeDocument/2006/relationships/hyperlink" Target="https://www.confaz.fazenda.gov.br/legislacao/protocolos/icms/1985/pt039_85" TargetMode="External"/><Relationship Id="rId19" Type="http://schemas.openxmlformats.org/officeDocument/2006/relationships/hyperlink" Target="https://www.confaz.fazenda.gov.br/legislacao/protocolos/icms/1998/pt017_9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faz.fazenda.gov.br/legislacao/protocolos/icms/1986/pt009_86" TargetMode="External"/><Relationship Id="rId9" Type="http://schemas.openxmlformats.org/officeDocument/2006/relationships/hyperlink" Target="https://www.confaz.fazenda.gov.br/legislacao/protocolos/icms/1985/pt028_85" TargetMode="External"/><Relationship Id="rId14" Type="http://schemas.openxmlformats.org/officeDocument/2006/relationships/hyperlink" Target="https://www.confaz.fazenda.gov.br/legislacao/protocolos/icms/1988/pt008_88" TargetMode="External"/><Relationship Id="rId22" Type="http://schemas.openxmlformats.org/officeDocument/2006/relationships/hyperlink" Target="https://www.confaz.fazenda.gov.br/legislacao/protocolos/icms/1999/pt027_99" TargetMode="External"/><Relationship Id="rId27" Type="http://schemas.openxmlformats.org/officeDocument/2006/relationships/hyperlink" Target="https://www.confaz.fazenda.gov.br/legislacao/protocolos/icms/2000/pt033_00" TargetMode="External"/><Relationship Id="rId30" Type="http://schemas.openxmlformats.org/officeDocument/2006/relationships/hyperlink" Target="https://www.confaz.fazenda.gov.br/legislacao/protocolos/icms/2008/pt031_0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2257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sefa</cp:lastModifiedBy>
  <cp:revision>1</cp:revision>
  <dcterms:created xsi:type="dcterms:W3CDTF">2015-04-29T14:23:00Z</dcterms:created>
  <dcterms:modified xsi:type="dcterms:W3CDTF">2015-04-29T14:25:00Z</dcterms:modified>
</cp:coreProperties>
</file>