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FA" w:rsidRPr="006777FA" w:rsidRDefault="006777FA" w:rsidP="006777FA">
      <w:pPr>
        <w:suppressAutoHyphens/>
        <w:spacing w:after="0" w:line="240" w:lineRule="auto"/>
        <w:jc w:val="right"/>
        <w:rPr>
          <w:rFonts w:ascii="Times New Roman" w:eastAsia="Times New Roman" w:hAnsi="Times New Roman" w:cs="Times New Roman"/>
          <w:sz w:val="24"/>
          <w:szCs w:val="24"/>
          <w:lang w:eastAsia="pt-BR"/>
        </w:rPr>
      </w:pPr>
      <w:r w:rsidRPr="006777FA">
        <w:rPr>
          <w:rFonts w:ascii="Times New Roman" w:eastAsia="Times New Roman" w:hAnsi="Times New Roman" w:cs="Arial"/>
          <w:b/>
          <w:bCs/>
          <w:sz w:val="20"/>
          <w:szCs w:val="20"/>
          <w:lang w:eastAsia="ar-SA"/>
        </w:rPr>
        <w:t> </w:t>
      </w:r>
    </w:p>
    <w:p w:rsidR="00E509DE" w:rsidRDefault="00E509DE" w:rsidP="00E509DE">
      <w:pPr>
        <w:pStyle w:val="a1-1tituloacordo"/>
      </w:pPr>
      <w:bookmarkStart w:id="0" w:name="P46"/>
      <w:r>
        <w:t>PROTOCOLO ICMS 21, DE 1º DE ABRIL DE 2011</w:t>
      </w:r>
      <w:bookmarkEnd w:id="0"/>
    </w:p>
    <w:p w:rsidR="00E509DE" w:rsidRDefault="00E509DE" w:rsidP="00E509DE">
      <w:pPr>
        <w:pStyle w:val="a2datapublicacao"/>
      </w:pPr>
      <w:r>
        <w:rPr>
          <w:rFonts w:ascii="Symbol" w:eastAsia="Symbol" w:hAnsi="Symbol" w:cs="Symbol"/>
        </w:rPr>
        <w:t></w:t>
      </w:r>
      <w:r>
        <w:rPr>
          <w:rFonts w:eastAsia="Symbol"/>
          <w:sz w:val="14"/>
          <w:szCs w:val="14"/>
        </w:rPr>
        <w:t xml:space="preserve">   </w:t>
      </w:r>
      <w:r>
        <w:t xml:space="preserve">Publicado no DOU de 07.04.11, pelo Despacho </w:t>
      </w:r>
      <w:hyperlink r:id="rId4" w:history="1">
        <w:r>
          <w:rPr>
            <w:rStyle w:val="Hyperlink"/>
          </w:rPr>
          <w:t>50/11</w:t>
        </w:r>
      </w:hyperlink>
      <w:r>
        <w:t>.</w:t>
      </w:r>
    </w:p>
    <w:p w:rsidR="00E509DE" w:rsidRDefault="00E509DE" w:rsidP="00E509DE">
      <w:pPr>
        <w:pStyle w:val="a2datapublicacao"/>
      </w:pPr>
      <w:r>
        <w:rPr>
          <w:rFonts w:ascii="Symbol" w:eastAsia="Symbol" w:hAnsi="Symbol" w:cs="Symbol"/>
        </w:rPr>
        <w:t></w:t>
      </w:r>
      <w:r>
        <w:rPr>
          <w:rFonts w:eastAsia="Symbol"/>
          <w:sz w:val="14"/>
          <w:szCs w:val="14"/>
        </w:rPr>
        <w:t xml:space="preserve">   </w:t>
      </w:r>
      <w:r>
        <w:t xml:space="preserve">Adesão do MS, a partir de 25.04.11, pelo Prot. </w:t>
      </w:r>
      <w:proofErr w:type="gramStart"/>
      <w:r>
        <w:t xml:space="preserve">ICMS </w:t>
      </w:r>
      <w:hyperlink r:id="rId5" w:history="1">
        <w:hyperlink r:id="rId6" w:history="1">
          <w:r>
            <w:rPr>
              <w:rStyle w:val="Hyperlink"/>
            </w:rPr>
            <w:t>30/11</w:t>
          </w:r>
        </w:hyperlink>
      </w:hyperlink>
      <w:r>
        <w:t>.</w:t>
      </w:r>
      <w:proofErr w:type="gramEnd"/>
    </w:p>
    <w:p w:rsidR="00E509DE" w:rsidRDefault="00E509DE" w:rsidP="00E509DE">
      <w:pPr>
        <w:pStyle w:val="a2datapublicacao"/>
      </w:pPr>
      <w:r>
        <w:rPr>
          <w:rFonts w:ascii="Symbol" w:eastAsia="Symbol" w:hAnsi="Symbol" w:cs="Symbol"/>
        </w:rPr>
        <w:t></w:t>
      </w:r>
      <w:r>
        <w:rPr>
          <w:rFonts w:eastAsia="Symbol"/>
          <w:sz w:val="14"/>
          <w:szCs w:val="14"/>
        </w:rPr>
        <w:t xml:space="preserve">   </w:t>
      </w:r>
      <w:r>
        <w:t>Retificação no DOU de 13.04.11.</w:t>
      </w:r>
    </w:p>
    <w:p w:rsidR="00E509DE" w:rsidRDefault="00E509DE" w:rsidP="00E509DE">
      <w:pPr>
        <w:pStyle w:val="a2datapublicacao"/>
      </w:pPr>
      <w:r>
        <w:rPr>
          <w:rFonts w:ascii="Symbol" w:eastAsia="Symbol" w:hAnsi="Symbol" w:cs="Symbol"/>
        </w:rPr>
        <w:t></w:t>
      </w:r>
      <w:r>
        <w:rPr>
          <w:rFonts w:eastAsia="Symbol"/>
          <w:sz w:val="14"/>
          <w:szCs w:val="14"/>
        </w:rPr>
        <w:t xml:space="preserve">   </w:t>
      </w:r>
      <w:r>
        <w:t xml:space="preserve">Adesão do TO, a partir de 15.07.11, pelo Prot. </w:t>
      </w:r>
      <w:proofErr w:type="gramStart"/>
      <w:r>
        <w:t>ICMS</w:t>
      </w:r>
      <w:r>
        <w:rPr>
          <w:rStyle w:val="Hyperlink"/>
        </w:rPr>
        <w:t xml:space="preserve"> </w:t>
      </w:r>
      <w:hyperlink r:id="rId7" w:history="1">
        <w:hyperlink r:id="rId8" w:history="1">
          <w:r>
            <w:rPr>
              <w:rStyle w:val="Hyperlink"/>
            </w:rPr>
            <w:t>43/11</w:t>
          </w:r>
        </w:hyperlink>
      </w:hyperlink>
      <w:r>
        <w:t>.</w:t>
      </w:r>
      <w:proofErr w:type="gramEnd"/>
    </w:p>
    <w:p w:rsidR="00E509DE" w:rsidRDefault="00E509DE" w:rsidP="00E509DE">
      <w:pPr>
        <w:pStyle w:val="a2datapublicacao"/>
      </w:pPr>
      <w:r>
        <w:rPr>
          <w:rFonts w:ascii="Symbol" w:eastAsia="Symbol" w:hAnsi="Symbol" w:cs="Symbol"/>
        </w:rPr>
        <w:t></w:t>
      </w:r>
      <w:r>
        <w:rPr>
          <w:rFonts w:eastAsia="Symbol"/>
          <w:sz w:val="14"/>
          <w:szCs w:val="14"/>
        </w:rPr>
        <w:t xml:space="preserve">   </w:t>
      </w:r>
      <w:r>
        <w:t xml:space="preserve">Denúncia do ES, a partir de 20.04.12, pelo Despacho </w:t>
      </w:r>
      <w:hyperlink r:id="rId9" w:history="1">
        <w:r>
          <w:rPr>
            <w:rStyle w:val="Hyperlink"/>
          </w:rPr>
          <w:t>74/12</w:t>
        </w:r>
      </w:hyperlink>
      <w:r>
        <w:t>.</w:t>
      </w:r>
    </w:p>
    <w:p w:rsidR="00E509DE" w:rsidRDefault="00E509DE" w:rsidP="00E509DE">
      <w:pPr>
        <w:pStyle w:val="a2datapublicacao"/>
      </w:pPr>
      <w:r>
        <w:rPr>
          <w:rFonts w:ascii="Symbol" w:eastAsia="Symbol" w:hAnsi="Symbol" w:cs="Symbol"/>
        </w:rPr>
        <w:t></w:t>
      </w:r>
      <w:r>
        <w:rPr>
          <w:rFonts w:eastAsia="Symbol"/>
          <w:sz w:val="14"/>
          <w:szCs w:val="14"/>
        </w:rPr>
        <w:t xml:space="preserve">   </w:t>
      </w:r>
      <w:r>
        <w:t xml:space="preserve">Denúncia do DF, a partir de 06.09.13, pelo Despacho </w:t>
      </w:r>
      <w:hyperlink r:id="rId10" w:history="1">
        <w:r>
          <w:rPr>
            <w:rStyle w:val="Hyperlink"/>
          </w:rPr>
          <w:t>185/13</w:t>
        </w:r>
      </w:hyperlink>
      <w:r>
        <w:t>.</w:t>
      </w:r>
    </w:p>
    <w:p w:rsidR="00E509DE" w:rsidRDefault="00E509DE" w:rsidP="00E509DE">
      <w:pPr>
        <w:pStyle w:val="a2datapublicacao"/>
      </w:pPr>
      <w:r>
        <w:rPr>
          <w:rFonts w:ascii="Symbol" w:eastAsia="Symbol" w:hAnsi="Symbol" w:cs="Symbol"/>
        </w:rPr>
        <w:t></w:t>
      </w:r>
      <w:r>
        <w:rPr>
          <w:rFonts w:eastAsia="Symbol"/>
          <w:sz w:val="14"/>
          <w:szCs w:val="14"/>
        </w:rPr>
        <w:t xml:space="preserve">   </w:t>
      </w:r>
      <w:r>
        <w:t xml:space="preserve">Denúncia do PE, a partir de 11.02.14, pelo Despacho </w:t>
      </w:r>
      <w:hyperlink r:id="rId11" w:history="1">
        <w:r>
          <w:rPr>
            <w:rStyle w:val="Hyperlink"/>
          </w:rPr>
          <w:t>34/14</w:t>
        </w:r>
      </w:hyperlink>
      <w:r>
        <w:t>.</w:t>
      </w:r>
    </w:p>
    <w:p w:rsidR="00E509DE" w:rsidRDefault="00E509DE" w:rsidP="00E509DE">
      <w:pPr>
        <w:pStyle w:val="a2datapublicacao"/>
      </w:pPr>
      <w:r>
        <w:rPr>
          <w:rFonts w:ascii="Symbol" w:eastAsia="Symbol" w:hAnsi="Symbol" w:cs="Symbol"/>
        </w:rPr>
        <w:t></w:t>
      </w:r>
      <w:r>
        <w:rPr>
          <w:rFonts w:eastAsia="Symbol"/>
          <w:sz w:val="14"/>
          <w:szCs w:val="14"/>
        </w:rPr>
        <w:t xml:space="preserve">   </w:t>
      </w:r>
      <w:r>
        <w:t>Exclusão de RO, a partir de 26.03.14, p</w:t>
      </w:r>
      <w:bookmarkStart w:id="1" w:name="_GoBack"/>
      <w:bookmarkEnd w:id="1"/>
      <w:r>
        <w:t xml:space="preserve">elo Prot. ICMS </w:t>
      </w:r>
      <w:hyperlink r:id="rId12" w:history="1">
        <w:r>
          <w:rPr>
            <w:rStyle w:val="Hyperlink"/>
          </w:rPr>
          <w:t>06/14</w:t>
        </w:r>
      </w:hyperlink>
      <w:r>
        <w:t>.</w:t>
      </w:r>
    </w:p>
    <w:p w:rsidR="00E509DE" w:rsidRDefault="00E509DE" w:rsidP="00E509DE">
      <w:pPr>
        <w:pStyle w:val="a2datapublicacao"/>
      </w:pPr>
      <w:r w:rsidRPr="001B1E50">
        <w:rPr>
          <w:color w:val="C00000"/>
        </w:rPr>
        <w:t>Exclusão dos Estados do Acre, do Amapá e da Paraíba, a partir de 11.12.14, pelo Prot. ICMS 75/14</w:t>
      </w:r>
      <w:r>
        <w:t>.</w:t>
      </w:r>
    </w:p>
    <w:p w:rsidR="00E509DE" w:rsidRDefault="00E509DE" w:rsidP="00E509DE">
      <w:pPr>
        <w:pStyle w:val="a3ementa"/>
      </w:pPr>
      <w:r>
        <w:t>Estabelece disciplina relacionada à exigência do ICMS nas operações interestaduais que destinem mercadoria ou bem a consumidor final, cuja aquisição ocorrer de forma não presencial no estabelecimento remetente.</w:t>
      </w:r>
    </w:p>
    <w:p w:rsidR="00E509DE" w:rsidRDefault="00E509DE" w:rsidP="00E509DE">
      <w:pPr>
        <w:pStyle w:val="a5-1textoacordo"/>
      </w:pPr>
      <w:r>
        <w:rPr>
          <w:b/>
        </w:rPr>
        <w:t>Os Estados de Acre, Alagoas, Amapá, Bahia, Ceará, Espírito Santo, Goiás, Maranhão, Mato Grosso, Pará, Paraíba, Pernambuco, Piauí, Rio Grande do Norte, Roraima, Rondônia e Sergipe e o Distrito Federal</w:t>
      </w:r>
      <w:r>
        <w:t xml:space="preserve">, neste ato representados pelos Secretários de Fazenda, Finanças, Receita ou Tributação e Gerente de Receita, reunidos na cidade do Rio de Janeiro, no dia 1º de abril de 2011, fundamentados no disposto nos </w:t>
      </w:r>
      <w:proofErr w:type="spellStart"/>
      <w:r>
        <w:t>arts</w:t>
      </w:r>
      <w:proofErr w:type="spellEnd"/>
      <w:r>
        <w:t>. 102 e 199 da Lei nº 5.172, de 25 de outubro de 1966 (Código Tributário Nacional), e no art. 9° da Lei Complementar n° 87, de 13 de setembro de 1996,</w:t>
      </w:r>
    </w:p>
    <w:p w:rsidR="00E509DE" w:rsidRDefault="00E509DE" w:rsidP="00E509DE">
      <w:pPr>
        <w:pStyle w:val="a5-1textoacordo"/>
      </w:pPr>
      <w:proofErr w:type="gramStart"/>
      <w:r>
        <w:rPr>
          <w:b/>
        </w:rPr>
        <w:t>considerando</w:t>
      </w:r>
      <w:proofErr w:type="gramEnd"/>
      <w:r>
        <w:t xml:space="preserve"> que a sistemática atual do comércio mundial permite a aquisição de mercadorias e bens de forma remota;</w:t>
      </w:r>
    </w:p>
    <w:p w:rsidR="00E509DE" w:rsidRDefault="00E509DE" w:rsidP="00E509DE">
      <w:pPr>
        <w:pStyle w:val="a5-1textoacordo"/>
      </w:pPr>
      <w:proofErr w:type="gramStart"/>
      <w:r>
        <w:rPr>
          <w:b/>
        </w:rPr>
        <w:t>considerando</w:t>
      </w:r>
      <w:proofErr w:type="gramEnd"/>
      <w:r>
        <w:t xml:space="preserve"> que o aumento dessa modalidade de comércio, de forma não presencial, especialmente as compras por meio da internet, telemarketing e showroom, deslocou as operações comerciais com consumidor final, não contribuintes de ICMS, para vertente diferente daquela que ocorria predominante quando da promulgação da Constituição Federal de 1988;</w:t>
      </w:r>
    </w:p>
    <w:p w:rsidR="00E509DE" w:rsidRDefault="00E509DE" w:rsidP="00E509DE">
      <w:pPr>
        <w:pStyle w:val="a5-1textoacordo"/>
      </w:pPr>
      <w:proofErr w:type="gramStart"/>
      <w:r>
        <w:rPr>
          <w:b/>
        </w:rPr>
        <w:t>considerando</w:t>
      </w:r>
      <w:proofErr w:type="gramEnd"/>
      <w:r>
        <w:t xml:space="preserve"> que o imposto incidente sobre as operações de que trata este protocolo é imposto sobre o consumo, cuja repartição tributária deve observar esta natureza do ICMS, que a Carta Magna na sua essência assegurou às unidades federadas onde ocorre o consumo da mercadoria ou bem;</w:t>
      </w:r>
    </w:p>
    <w:p w:rsidR="00E509DE" w:rsidRDefault="00E509DE" w:rsidP="00E509DE">
      <w:pPr>
        <w:pStyle w:val="a5-1textoacordo"/>
      </w:pPr>
      <w:proofErr w:type="gramStart"/>
      <w:r>
        <w:rPr>
          <w:b/>
        </w:rPr>
        <w:lastRenderedPageBreak/>
        <w:t>considerando</w:t>
      </w:r>
      <w:proofErr w:type="gramEnd"/>
      <w:r>
        <w:t xml:space="preserve"> a substancial e crescente mudança do comércio convencional para essa modalidade de comércio, persistindo, todavia, a tributação apenas na origem, o que não coaduna com a essência do principal imposto estadual, não preservando a repartição do produto da arrecadação dessa operação entre as unidades federadas de origem e de destino, resolve celebrar o seguinte</w:t>
      </w:r>
    </w:p>
    <w:p w:rsidR="00E509DE" w:rsidRDefault="00E509DE" w:rsidP="00E509DE">
      <w:pPr>
        <w:pStyle w:val="a4acordotipo"/>
      </w:pPr>
      <w:r>
        <w:t>P R O T O C O L O</w:t>
      </w:r>
    </w:p>
    <w:p w:rsidR="00E509DE" w:rsidRDefault="00E509DE" w:rsidP="00E509DE">
      <w:pPr>
        <w:pStyle w:val="a5-1textoacordo"/>
      </w:pPr>
      <w:r>
        <w:rPr>
          <w:b/>
        </w:rPr>
        <w:t>Cláusula primeira</w:t>
      </w:r>
      <w:r>
        <w:t xml:space="preserve"> Acordam as unidades federadas signatárias deste protocolo a exigir, nos termos nele previstos, a favor da unidade federada de destino da mercadoria ou bem, a parcela do Imposto sobre Operações Relativas à Circulação de Mercadorias e sobre Prestações de Serviços de Transporte Interestadual e Intermunicipal e de Comunicação - ICMS - devida na operação interestadual em que o consumidor final adquire mercadoria ou bem de forma não presencial por meio de internet, telemarketing ou showroom.</w:t>
      </w:r>
    </w:p>
    <w:p w:rsidR="00E509DE" w:rsidRDefault="00E509DE" w:rsidP="00E509DE">
      <w:pPr>
        <w:pStyle w:val="a5-1textoacordo"/>
      </w:pPr>
      <w:r>
        <w:t>Parágrafo único. A exigência do imposto pela unidade federada destinatária da mercadoria ou bem, aplica-se, inclusive, nas operações procedentes de unidades da Federação não signatárias deste protocolo.</w:t>
      </w:r>
    </w:p>
    <w:p w:rsidR="00E509DE" w:rsidRDefault="00E509DE" w:rsidP="00E509DE">
      <w:pPr>
        <w:pStyle w:val="a5-1textoacordo"/>
      </w:pPr>
      <w:r>
        <w:rPr>
          <w:b/>
        </w:rPr>
        <w:t>Cláusula segunda</w:t>
      </w:r>
      <w:r>
        <w:t xml:space="preserve"> Nas operações interestaduais entre as unidades federadas signatárias deste protocolo o estabelecimento remetente, na condição de substituto tributário, será responsável pela retenção e recolhimento do ICMS, em favor da unidade federada de destino, relativo à parcela de que trata a cláusula primeira.</w:t>
      </w:r>
    </w:p>
    <w:p w:rsidR="00E509DE" w:rsidRDefault="00E509DE" w:rsidP="00E509DE">
      <w:pPr>
        <w:pStyle w:val="a5-1textoacordo"/>
      </w:pPr>
      <w:r>
        <w:rPr>
          <w:b/>
        </w:rPr>
        <w:t>Cláusula terceira</w:t>
      </w:r>
      <w:r>
        <w:t xml:space="preserve"> A parcela do imposto devido à unidade federada destinatária será obtida pela aplicação da sua alíquota interna, sobre o valor da respectiva operação, deduzindo-se o valor equivalente aos seguintes percentuais aplicados sobre a base de cálculo utilizada para cobrança do imposto devido na origem:</w:t>
      </w:r>
    </w:p>
    <w:p w:rsidR="00E509DE" w:rsidRDefault="00E509DE" w:rsidP="00E509DE">
      <w:pPr>
        <w:pStyle w:val="a5-1textoacordo"/>
      </w:pPr>
      <w:r>
        <w:t>I - 7% (sete por cento) para as mercadorias ou bens oriundos das Regiões Sul e Sudeste, exceto do Estado do Espírito Santo;</w:t>
      </w:r>
    </w:p>
    <w:p w:rsidR="00E509DE" w:rsidRDefault="00E509DE" w:rsidP="00E509DE">
      <w:pPr>
        <w:pStyle w:val="a5-1textoacordo"/>
      </w:pPr>
      <w:r>
        <w:t>II - 12% (doze por cento) para as mercadorias ou bens procedentes das Regiões Norte, Nordeste e Centro-Oeste e do Estado do Espírito Santo.</w:t>
      </w:r>
    </w:p>
    <w:p w:rsidR="00E509DE" w:rsidRDefault="00E509DE" w:rsidP="00E509DE">
      <w:pPr>
        <w:pStyle w:val="a5-1textoacordo"/>
      </w:pPr>
      <w:r>
        <w:t>Parágrafo único. O ICMS devido à unidade federada de origem da mercadoria ou bem, relativo à obrigação própria do remetente, é calculado com a utilização da alíquota interestadual.</w:t>
      </w:r>
    </w:p>
    <w:p w:rsidR="00E509DE" w:rsidRDefault="00E509DE" w:rsidP="00E509DE">
      <w:pPr>
        <w:pStyle w:val="a5-1textoacordo"/>
      </w:pPr>
      <w:r>
        <w:rPr>
          <w:b/>
        </w:rPr>
        <w:t>Cláusula quarta</w:t>
      </w:r>
      <w:r>
        <w:t xml:space="preserve"> A parcela do imposto a que se refere a cláusula primeira deverá ser recolhida pelo estabelecimento remetente antes da saída da mercadoria ou bem, por meio de Documento de Arrecadação Estadual (DAE) ou Guia Nacional de Recolhimento de Tributos Estaduais (GNRE), exceto quando o remetente se credencie na unidade federada de destino, hipótese em que o recolhimento será feito até o dia nove do mês </w:t>
      </w:r>
      <w:proofErr w:type="spellStart"/>
      <w:r>
        <w:t>subseqüente</w:t>
      </w:r>
      <w:proofErr w:type="spellEnd"/>
      <w:r>
        <w:t xml:space="preserve"> à ocorrência do fato gerador.</w:t>
      </w:r>
    </w:p>
    <w:p w:rsidR="00E509DE" w:rsidRDefault="00E509DE" w:rsidP="00E509DE">
      <w:pPr>
        <w:pStyle w:val="a5-1textoacordo"/>
      </w:pPr>
      <w:r>
        <w:t xml:space="preserve">Parágrafo único. Será exigível, a partir do momento do ingresso da mercadoria ou bem no território da unidade federada do destino e na forma da legislação de cada unidade federada, o pagamento do imposto relativo à parcela a que se refere a cláusula primeira, </w:t>
      </w:r>
      <w:r>
        <w:lastRenderedPageBreak/>
        <w:t>na hipótese da mercadoria ou bem estar desacompanhado do documento correspondente ao recolhimento do ICMS, na operação procedente de unidade federada:</w:t>
      </w:r>
    </w:p>
    <w:p w:rsidR="00E509DE" w:rsidRDefault="00E509DE" w:rsidP="00E509DE">
      <w:pPr>
        <w:pStyle w:val="a5-1textoacordo"/>
      </w:pPr>
      <w:r>
        <w:t>I - não signatária deste protocolo;</w:t>
      </w:r>
    </w:p>
    <w:p w:rsidR="00E509DE" w:rsidRDefault="00E509DE" w:rsidP="00E509DE">
      <w:pPr>
        <w:pStyle w:val="a5-1textoacordo"/>
      </w:pPr>
      <w:r>
        <w:t>II - signatária deste protocolo realizada por estabelecimento remetente não credenciado na unidade federada de destino.</w:t>
      </w:r>
    </w:p>
    <w:p w:rsidR="00E509DE" w:rsidRDefault="00E509DE" w:rsidP="00E509DE">
      <w:pPr>
        <w:pStyle w:val="a5-1textoacordo"/>
      </w:pPr>
      <w:r>
        <w:rPr>
          <w:b/>
        </w:rPr>
        <w:t>Cláusula quinta</w:t>
      </w:r>
      <w:r>
        <w:t xml:space="preserve"> O disposto neste Protocolo não se aplica às operações de que trata o Convênio ICMS 51/00, de 15 de dezembro de 2000.</w:t>
      </w:r>
    </w:p>
    <w:p w:rsidR="00E509DE" w:rsidRDefault="00E509DE" w:rsidP="00E509DE">
      <w:pPr>
        <w:pStyle w:val="a5-1textoacordo"/>
      </w:pPr>
      <w:r>
        <w:rPr>
          <w:b/>
        </w:rPr>
        <w:t>Cláusula sexta</w:t>
      </w:r>
      <w:r>
        <w:t xml:space="preserve"> Fica facultada à unidade federada signatária estabelecer, em sua respectiva legislação, prazos diferenciados para o início de aplicabilidade deste protocolo, relativamente ao tipo de destinatário: pessoa física, pessoa jurídica e órgãos da Administração Pública Direta e Indireta, inclusive suas autarquias e fundações.</w:t>
      </w:r>
    </w:p>
    <w:p w:rsidR="00E509DE" w:rsidRDefault="00E509DE" w:rsidP="00E509DE">
      <w:pPr>
        <w:pStyle w:val="a5-1textoacordo"/>
      </w:pPr>
      <w:r>
        <w:rPr>
          <w:b/>
        </w:rPr>
        <w:t>Cláusula sétima</w:t>
      </w:r>
      <w:r>
        <w:t xml:space="preserve"> Este protocolo entra em vigor na data de sua publicação no Diário Oficial da União, produzindo efeitos a partir do 1º dia do mês subsequente ao da publicação.</w:t>
      </w:r>
    </w:p>
    <w:p w:rsidR="00E509DE" w:rsidRDefault="00E509DE" w:rsidP="00E509DE">
      <w:pPr>
        <w:pStyle w:val="a1-1tituloacordo"/>
      </w:pPr>
      <w:r>
        <w:t> </w:t>
      </w:r>
    </w:p>
    <w:p w:rsidR="00E509DE" w:rsidRDefault="00E509DE" w:rsidP="00E509DE">
      <w:pPr>
        <w:pStyle w:val="a1-1tituloacordo"/>
      </w:pPr>
      <w:r>
        <w:t> </w:t>
      </w:r>
    </w:p>
    <w:p w:rsidR="00E509DE" w:rsidRDefault="00E509DE" w:rsidP="00E509DE">
      <w:pPr>
        <w:pStyle w:val="a6-1subtitulo"/>
      </w:pPr>
      <w:r>
        <w:t>RETIFICAÇÃO</w:t>
      </w:r>
    </w:p>
    <w:p w:rsidR="00E509DE" w:rsidRDefault="00E509DE" w:rsidP="00E509DE">
      <w:pPr>
        <w:pStyle w:val="a2datapublicacao"/>
      </w:pPr>
      <w:r>
        <w:rPr>
          <w:rFonts w:ascii="Symbol" w:eastAsia="Symbol" w:hAnsi="Symbol" w:cs="Symbol"/>
        </w:rPr>
        <w:t></w:t>
      </w:r>
      <w:r>
        <w:rPr>
          <w:rFonts w:eastAsia="Symbol"/>
          <w:sz w:val="14"/>
          <w:szCs w:val="14"/>
        </w:rPr>
        <w:t xml:space="preserve">   </w:t>
      </w:r>
      <w:r>
        <w:t>Publicada no DOU de 13.04.11.</w:t>
      </w:r>
    </w:p>
    <w:p w:rsidR="00E509DE" w:rsidRDefault="00E509DE" w:rsidP="00E509DE">
      <w:pPr>
        <w:pStyle w:val="a2datapublicacao"/>
      </w:pPr>
      <w:r>
        <w:t> </w:t>
      </w:r>
    </w:p>
    <w:p w:rsidR="00E509DE" w:rsidRDefault="00E509DE" w:rsidP="00E509DE">
      <w:pPr>
        <w:pStyle w:val="a2datapublicacao"/>
      </w:pPr>
      <w:r>
        <w:t> </w:t>
      </w:r>
    </w:p>
    <w:p w:rsidR="00E509DE" w:rsidRDefault="00E509DE" w:rsidP="00E509DE">
      <w:pPr>
        <w:pStyle w:val="a5-1textoacordo"/>
      </w:pPr>
      <w:r>
        <w:t xml:space="preserve">Na lista de assinatura do Protocolo ICMS 21/11, de 01 de abril de 2011, publicado no DOU de 7 de abril de 2011, Seção 1, página 22, </w:t>
      </w:r>
    </w:p>
    <w:p w:rsidR="00E509DE" w:rsidRDefault="00E509DE" w:rsidP="00E509DE">
      <w:pPr>
        <w:pStyle w:val="a5-1textoacordo"/>
      </w:pPr>
      <w:r>
        <w:rPr>
          <w:b/>
        </w:rPr>
        <w:t>onde se lê</w:t>
      </w:r>
      <w:r>
        <w:t xml:space="preserve">: “Acre - Mâncio Lima Cordeiro, Alagoas - Maurício Acioli Toledo, Amapá - </w:t>
      </w:r>
      <w:proofErr w:type="spellStart"/>
      <w:r>
        <w:t>Claúdio</w:t>
      </w:r>
      <w:proofErr w:type="spellEnd"/>
      <w:r>
        <w:t xml:space="preserve"> Pinho Santana, Bahia - Carlos Martins Marques de Santana, Ceará - Carlos Mauro Benevides Filho, Distrito Federal - Valdir Moysés Simão, Espírito Santo - Maurício Cézar Duque, Goiás - Simão </w:t>
      </w:r>
      <w:proofErr w:type="spellStart"/>
      <w:r>
        <w:t>Cirineu</w:t>
      </w:r>
      <w:proofErr w:type="spellEnd"/>
      <w:r>
        <w:t xml:space="preserve"> Dias, Maranhão - Cláudio José </w:t>
      </w:r>
      <w:proofErr w:type="spellStart"/>
      <w:r>
        <w:t>Trinchão</w:t>
      </w:r>
      <w:proofErr w:type="spellEnd"/>
      <w:r>
        <w:t xml:space="preserve"> Santos, Mato Grosso - Edmilson José dos Santos, Pará – José Barroso Tostes Neto, Paraíba - Rubens Aquino Lins, Paraná – Luiz Carlos Hauly, Pernambuco - Paulo Henrique Saraiva Câmara, Piauí - Antônio Silvano Alencar de Almeida, Rio Grande do Norte – José Airton da Silva, Rondônia - Benedito Antônio Alves, Roraima – Luiz Renato Maciel de Melo, Santa Catarina - Ubiratan Simões Rezende, Sergipe - João Andrade Vieira da Silva, Tocantins.”, </w:t>
      </w:r>
    </w:p>
    <w:p w:rsidR="00E509DE" w:rsidRDefault="00E509DE" w:rsidP="00E509DE">
      <w:pPr>
        <w:pStyle w:val="a5-1textoacordo"/>
      </w:pPr>
      <w:r>
        <w:rPr>
          <w:b/>
        </w:rPr>
        <w:t>leia-se</w:t>
      </w:r>
      <w:r>
        <w:t xml:space="preserve">: “Acre - Mâncio Lima Cordeiro, Alagoas - Maurício Acioli Toledo, Amapá - Claudio Pinho Santana, Bahia - Carlos Martins Marques de Santana, Ceará - Carlos Mauro Benevides Filho, Distrito Federal - Valdir Moysés Simão, Espírito Santo - Maurício Cézar Duque, Goiás - Simão </w:t>
      </w:r>
      <w:proofErr w:type="spellStart"/>
      <w:r>
        <w:t>Cirineu</w:t>
      </w:r>
      <w:proofErr w:type="spellEnd"/>
      <w:r>
        <w:t xml:space="preserve"> Dias, Maranhão - Claudio José </w:t>
      </w:r>
      <w:proofErr w:type="spellStart"/>
      <w:r>
        <w:t>Trinchão</w:t>
      </w:r>
      <w:proofErr w:type="spellEnd"/>
      <w:r>
        <w:t xml:space="preserve"> </w:t>
      </w:r>
      <w:r>
        <w:lastRenderedPageBreak/>
        <w:t>Santos, Mato Grosso - Edmilson José dos Santos, Pará – José Barroso Tostes Neto, Paraíba - Rubens Aquino Lins, , Pernambuco - Paulo Henrique Saraiva Câmara, Piauí - Antônio Silvano Alencar de Almeida, Rio Grande do Norte – José Airton da Silva, Rondônia - Benedito Antônio Alves, Roraima – Luiz Renato Maciel de Melo, Sergipe - João Andrade Vieira da Silva .”.</w:t>
      </w:r>
    </w:p>
    <w:p w:rsidR="00E509DE" w:rsidRDefault="00E509DE" w:rsidP="00E509DE">
      <w:pPr>
        <w:pStyle w:val="a5-1textoacordo"/>
      </w:pPr>
      <w:r>
        <w:t> </w:t>
      </w:r>
    </w:p>
    <w:p w:rsidR="00E509DE" w:rsidRDefault="00E509DE" w:rsidP="00E509DE">
      <w:pPr>
        <w:pStyle w:val="a5-1textoacordo"/>
      </w:pPr>
      <w:r>
        <w:t>MANUEL DOS ANJOS MARQUES TEIXEIRA</w:t>
      </w:r>
    </w:p>
    <w:p w:rsidR="00E509DE" w:rsidRDefault="00E509DE" w:rsidP="00E509DE">
      <w:pPr>
        <w:pStyle w:val="a5-1textoacordo"/>
      </w:pPr>
      <w:r>
        <w:t> </w:t>
      </w:r>
    </w:p>
    <w:p w:rsidR="00CB6E62" w:rsidRPr="00CB6E62" w:rsidRDefault="00CB6E62" w:rsidP="00CB6E62">
      <w:pPr>
        <w:spacing w:before="100" w:beforeAutospacing="1" w:after="0" w:line="240" w:lineRule="auto"/>
        <w:rPr>
          <w:rFonts w:ascii="Times New Roman" w:eastAsia="Times New Roman" w:hAnsi="Times New Roman" w:cs="Times New Roman"/>
          <w:sz w:val="24"/>
          <w:szCs w:val="24"/>
          <w:lang w:eastAsia="pt-BR"/>
        </w:rPr>
      </w:pPr>
      <w:r w:rsidRPr="00CB6E62">
        <w:rPr>
          <w:rFonts w:ascii="Times New Roman" w:eastAsia="Times New Roman" w:hAnsi="Times New Roman" w:cs="Arial"/>
          <w:color w:val="000000"/>
          <w:sz w:val="24"/>
          <w:szCs w:val="28"/>
          <w:lang w:eastAsia="pt-BR"/>
        </w:rPr>
        <w:t>PROTOCOLO ICMS 75, DE 5 DE DEZEMBRO DE 2014</w:t>
      </w:r>
    </w:p>
    <w:p w:rsidR="00CB6E62" w:rsidRPr="00CB6E62" w:rsidRDefault="00CB6E62" w:rsidP="00CB6E6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CB6E62">
        <w:rPr>
          <w:rFonts w:ascii="Arial" w:eastAsia="Times New Roman" w:hAnsi="Arial" w:cs="Arial"/>
          <w:b/>
          <w:sz w:val="20"/>
          <w:szCs w:val="20"/>
          <w:lang w:eastAsia="pt-BR"/>
        </w:rPr>
        <w:t> </w:t>
      </w:r>
    </w:p>
    <w:p w:rsidR="00CB6E62" w:rsidRPr="00CB6E62" w:rsidRDefault="00CB6E62" w:rsidP="00CB6E62">
      <w:pPr>
        <w:spacing w:before="100" w:beforeAutospacing="1" w:after="100" w:afterAutospacing="1" w:line="240" w:lineRule="auto"/>
        <w:rPr>
          <w:rFonts w:ascii="Times New Roman" w:eastAsia="Times New Roman" w:hAnsi="Times New Roman" w:cs="Times New Roman"/>
          <w:sz w:val="24"/>
          <w:szCs w:val="24"/>
          <w:lang w:eastAsia="pt-BR"/>
        </w:rPr>
      </w:pPr>
      <w:r w:rsidRPr="00CB6E62">
        <w:rPr>
          <w:rFonts w:ascii="Arial" w:eastAsia="Times New Roman" w:hAnsi="Arial" w:cs="Arial"/>
          <w:b/>
          <w:bCs/>
          <w:color w:val="FF0000"/>
          <w:sz w:val="20"/>
          <w:szCs w:val="20"/>
          <w:lang w:eastAsia="pt-BR"/>
        </w:rPr>
        <w:t>Publicado no DOU de 11.12.14</w:t>
      </w:r>
    </w:p>
    <w:p w:rsidR="00CB6E62" w:rsidRPr="00CB6E62" w:rsidRDefault="00CB6E62" w:rsidP="00CB6E62">
      <w:pPr>
        <w:spacing w:after="0" w:line="240" w:lineRule="auto"/>
        <w:ind w:left="4536"/>
        <w:rPr>
          <w:rFonts w:ascii="Times New Roman" w:eastAsia="Times New Roman" w:hAnsi="Times New Roman" w:cs="Times New Roman"/>
          <w:sz w:val="24"/>
          <w:szCs w:val="24"/>
          <w:lang w:eastAsia="pt-BR"/>
        </w:rPr>
      </w:pPr>
      <w:r w:rsidRPr="00CB6E62">
        <w:rPr>
          <w:rFonts w:ascii="Times New Roman" w:eastAsia="Times New Roman" w:hAnsi="Times New Roman" w:cs="Times New Roman"/>
          <w:sz w:val="24"/>
          <w:szCs w:val="24"/>
          <w:lang w:eastAsia="pt-BR"/>
        </w:rPr>
        <w:t xml:space="preserve">Exclui o Estado do Acre, do Amapá e da Paraíba do Protocolo ICMS 21/11, que estabelece disciplina relacionada à exigência do ICMS nas operações interestaduais que destinem mercadoria ou bem a consumidor final, cuja aquisição ocorrer de forma não presencial no estabelecimento remetente. </w:t>
      </w:r>
      <w:r w:rsidRPr="00CB6E62">
        <w:rPr>
          <w:rFonts w:ascii="Times New Roman" w:eastAsia="Times New Roman" w:hAnsi="Times New Roman" w:cs="Times New Roman"/>
          <w:sz w:val="24"/>
          <w:szCs w:val="24"/>
          <w:lang w:eastAsia="pt-BR"/>
        </w:rPr>
        <w:tab/>
      </w:r>
    </w:p>
    <w:p w:rsidR="00CB6E62" w:rsidRPr="00CB6E62" w:rsidRDefault="00CB6E62" w:rsidP="00CB6E62">
      <w:pPr>
        <w:spacing w:after="0" w:line="240" w:lineRule="auto"/>
        <w:ind w:left="4820"/>
        <w:rPr>
          <w:rFonts w:ascii="Times New Roman" w:eastAsia="Times New Roman" w:hAnsi="Times New Roman" w:cs="Times New Roman"/>
          <w:sz w:val="24"/>
          <w:szCs w:val="24"/>
          <w:lang w:eastAsia="pt-BR"/>
        </w:rPr>
      </w:pPr>
      <w:r w:rsidRPr="00CB6E62">
        <w:rPr>
          <w:rFonts w:ascii="Times New Roman" w:eastAsia="Times New Roman" w:hAnsi="Times New Roman" w:cs="Times New Roman"/>
          <w:sz w:val="24"/>
          <w:szCs w:val="24"/>
          <w:lang w:eastAsia="pt-BR"/>
        </w:rPr>
        <w:t> </w:t>
      </w:r>
    </w:p>
    <w:p w:rsidR="00CB6E62" w:rsidRPr="00CB6E62" w:rsidRDefault="00CB6E62" w:rsidP="00CB6E62">
      <w:pPr>
        <w:spacing w:after="0" w:line="240" w:lineRule="auto"/>
        <w:ind w:firstLine="1418"/>
        <w:rPr>
          <w:rFonts w:ascii="Times New Roman" w:eastAsia="Times New Roman" w:hAnsi="Times New Roman" w:cs="Times New Roman"/>
          <w:sz w:val="24"/>
          <w:szCs w:val="24"/>
          <w:lang w:eastAsia="pt-BR"/>
        </w:rPr>
      </w:pPr>
      <w:r w:rsidRPr="00CB6E62">
        <w:rPr>
          <w:rFonts w:ascii="Times New Roman" w:eastAsia="Times New Roman" w:hAnsi="Times New Roman" w:cs="Times New Roman"/>
          <w:b/>
          <w:sz w:val="24"/>
          <w:szCs w:val="24"/>
          <w:lang w:eastAsia="pt-BR"/>
        </w:rPr>
        <w:t>Os Estados de Acre, Alagoas, Amapá, Bahia, Ceará, Goiás, Maranhão, Mato Grosso, Mato Grosso do Sul, Pará, Paraíba, Rio Grande do Norte, Roraima, Sergipe e Tocantins,</w:t>
      </w:r>
      <w:r w:rsidRPr="00CB6E62">
        <w:rPr>
          <w:rFonts w:ascii="Times New Roman" w:eastAsia="Times New Roman" w:hAnsi="Times New Roman" w:cs="Times New Roman"/>
          <w:sz w:val="24"/>
          <w:szCs w:val="24"/>
          <w:lang w:eastAsia="pt-BR"/>
        </w:rPr>
        <w:t xml:space="preserve"> neste ato representados por seus respectivos Secretários de Fazenda, Finanças, Receita ou Tributação, considerando o disposto nos art. 102 e 199, da Lei nº 5.172, de 25 de outubro de 1966 (Código Tributário Nacional) e no art. 9º da Lei Complementar nº 87, de 13 de setembro de 1996, resolvem celebrar o seguinte</w:t>
      </w:r>
    </w:p>
    <w:p w:rsidR="00CB6E62" w:rsidRPr="00CB6E62" w:rsidRDefault="00CB6E62" w:rsidP="00CB6E62">
      <w:pPr>
        <w:spacing w:after="0" w:line="240" w:lineRule="auto"/>
        <w:ind w:firstLine="1418"/>
        <w:rPr>
          <w:rFonts w:ascii="Times New Roman" w:eastAsia="Times New Roman" w:hAnsi="Times New Roman" w:cs="Times New Roman"/>
          <w:sz w:val="24"/>
          <w:szCs w:val="24"/>
          <w:lang w:eastAsia="pt-BR"/>
        </w:rPr>
      </w:pPr>
      <w:r w:rsidRPr="00CB6E62">
        <w:rPr>
          <w:rFonts w:ascii="Times New Roman" w:eastAsia="Times New Roman" w:hAnsi="Times New Roman" w:cs="Times New Roman"/>
          <w:sz w:val="24"/>
          <w:szCs w:val="24"/>
          <w:lang w:eastAsia="pt-BR"/>
        </w:rPr>
        <w:t> </w:t>
      </w:r>
    </w:p>
    <w:p w:rsidR="00CB6E62" w:rsidRPr="00CB6E62" w:rsidRDefault="00CB6E62" w:rsidP="00CB6E6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CB6E62">
        <w:rPr>
          <w:rFonts w:ascii="Arial" w:eastAsia="Times New Roman" w:hAnsi="Arial" w:cs="Arial"/>
          <w:b/>
          <w:bCs/>
          <w:color w:val="000000"/>
          <w:sz w:val="20"/>
          <w:szCs w:val="20"/>
          <w:lang w:eastAsia="pt-BR"/>
        </w:rPr>
        <w:t>P R O T O C O L O</w:t>
      </w:r>
    </w:p>
    <w:p w:rsidR="00CB6E62" w:rsidRPr="00CB6E62" w:rsidRDefault="00CB6E62" w:rsidP="00CB6E62">
      <w:pPr>
        <w:spacing w:after="0" w:line="240" w:lineRule="auto"/>
        <w:ind w:firstLine="1418"/>
        <w:rPr>
          <w:rFonts w:ascii="Times New Roman" w:eastAsia="Times New Roman" w:hAnsi="Times New Roman" w:cs="Times New Roman"/>
          <w:sz w:val="24"/>
          <w:szCs w:val="24"/>
          <w:lang w:eastAsia="pt-BR"/>
        </w:rPr>
      </w:pPr>
      <w:r w:rsidRPr="00CB6E62">
        <w:rPr>
          <w:rFonts w:ascii="Times New Roman" w:eastAsia="Times New Roman" w:hAnsi="Times New Roman" w:cs="Times New Roman"/>
          <w:b/>
          <w:sz w:val="24"/>
          <w:szCs w:val="24"/>
          <w:lang w:eastAsia="pt-BR"/>
        </w:rPr>
        <w:t>Cláusula primeira</w:t>
      </w:r>
      <w:r w:rsidRPr="00CB6E62">
        <w:rPr>
          <w:rFonts w:ascii="Times New Roman" w:eastAsia="Times New Roman" w:hAnsi="Times New Roman" w:cs="Times New Roman"/>
          <w:sz w:val="24"/>
          <w:szCs w:val="24"/>
          <w:lang w:eastAsia="pt-BR"/>
        </w:rPr>
        <w:t xml:space="preserve"> Ficam os Estados do Acre, do Amapá e da Paraíba excluídos das disposições contidas no Protocolo ICMS 21/11, de 1º de abril de 2011.</w:t>
      </w:r>
    </w:p>
    <w:p w:rsidR="00CB6E62" w:rsidRPr="00CB6E62" w:rsidRDefault="00CB6E62" w:rsidP="00CB6E62">
      <w:pPr>
        <w:spacing w:after="0" w:line="240" w:lineRule="auto"/>
        <w:ind w:firstLine="1418"/>
        <w:rPr>
          <w:rFonts w:ascii="Times New Roman" w:eastAsia="Times New Roman" w:hAnsi="Times New Roman" w:cs="Times New Roman"/>
          <w:sz w:val="24"/>
          <w:szCs w:val="24"/>
          <w:lang w:eastAsia="pt-BR"/>
        </w:rPr>
      </w:pPr>
      <w:r w:rsidRPr="00CB6E62">
        <w:rPr>
          <w:rFonts w:ascii="Times New Roman" w:eastAsia="Times New Roman" w:hAnsi="Times New Roman" w:cs="Times New Roman"/>
          <w:sz w:val="24"/>
          <w:szCs w:val="24"/>
          <w:lang w:eastAsia="pt-BR"/>
        </w:rPr>
        <w:t> </w:t>
      </w:r>
    </w:p>
    <w:p w:rsidR="00CB6E62" w:rsidRPr="00CB6E62" w:rsidRDefault="00CB6E62" w:rsidP="00CB6E62">
      <w:pPr>
        <w:spacing w:after="0" w:line="240" w:lineRule="auto"/>
        <w:ind w:firstLine="1418"/>
        <w:rPr>
          <w:rFonts w:ascii="Times New Roman" w:eastAsia="Times New Roman" w:hAnsi="Times New Roman" w:cs="Times New Roman"/>
          <w:sz w:val="24"/>
          <w:szCs w:val="24"/>
          <w:lang w:eastAsia="pt-BR"/>
        </w:rPr>
      </w:pPr>
      <w:r w:rsidRPr="00CB6E62">
        <w:rPr>
          <w:rFonts w:ascii="Times New Roman" w:eastAsia="Times New Roman" w:hAnsi="Times New Roman" w:cs="Times New Roman"/>
          <w:b/>
          <w:sz w:val="24"/>
          <w:szCs w:val="24"/>
          <w:lang w:eastAsia="pt-BR"/>
        </w:rPr>
        <w:t>Cláusula segunda</w:t>
      </w:r>
      <w:r w:rsidRPr="00CB6E62">
        <w:rPr>
          <w:rFonts w:ascii="Times New Roman" w:eastAsia="Times New Roman" w:hAnsi="Times New Roman" w:cs="Times New Roman"/>
          <w:sz w:val="24"/>
          <w:szCs w:val="24"/>
          <w:lang w:eastAsia="pt-BR"/>
        </w:rPr>
        <w:t xml:space="preserve"> Este protocolo entra em vigor na data da sua publicação no Diário Oficial da União.</w:t>
      </w:r>
    </w:p>
    <w:p w:rsidR="007D74B2" w:rsidRPr="007D74B2" w:rsidRDefault="007D74B2" w:rsidP="00E509DE">
      <w:pPr>
        <w:spacing w:before="100" w:beforeAutospacing="1" w:after="100" w:afterAutospacing="1" w:line="240" w:lineRule="auto"/>
        <w:ind w:left="1418"/>
        <w:jc w:val="both"/>
        <w:rPr>
          <w:rFonts w:ascii="Times New Roman" w:eastAsia="Times New Roman" w:hAnsi="Times New Roman" w:cs="Times New Roman"/>
          <w:sz w:val="24"/>
          <w:szCs w:val="24"/>
          <w:lang w:eastAsia="pt-BR"/>
        </w:rPr>
      </w:pPr>
      <w:r w:rsidRPr="007D74B2">
        <w:rPr>
          <w:rFonts w:ascii="Arial" w:eastAsia="Times New Roman" w:hAnsi="Arial" w:cs="Arial"/>
          <w:color w:val="FF0000"/>
          <w:sz w:val="20"/>
          <w:szCs w:val="20"/>
          <w:lang w:eastAsia="pt-BR"/>
        </w:rPr>
        <w:t>  </w:t>
      </w:r>
    </w:p>
    <w:sectPr w:rsidR="007D74B2" w:rsidRPr="007D74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13"/>
    <w:rsid w:val="00034531"/>
    <w:rsid w:val="000D377A"/>
    <w:rsid w:val="001708F6"/>
    <w:rsid w:val="001B1E50"/>
    <w:rsid w:val="005614AF"/>
    <w:rsid w:val="006777FA"/>
    <w:rsid w:val="007D74B2"/>
    <w:rsid w:val="00980AC7"/>
    <w:rsid w:val="009B0D13"/>
    <w:rsid w:val="00CB6E62"/>
    <w:rsid w:val="00D10F07"/>
    <w:rsid w:val="00E509DE"/>
    <w:rsid w:val="00EC5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C3E0-EEAB-489B-920A-058786CA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80A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3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tituloacordo">
    <w:name w:val="1tituloacordo"/>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9B0D13"/>
  </w:style>
  <w:style w:type="paragraph" w:styleId="Corpodetexto">
    <w:name w:val="Body Text"/>
    <w:basedOn w:val="Normal"/>
    <w:link w:val="CorpodetextoChar"/>
    <w:uiPriority w:val="99"/>
    <w:semiHidden/>
    <w:unhideWhenUsed/>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B0D1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AC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1">
    <w:name w:val="body1"/>
    <w:basedOn w:val="Normal"/>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0D377A"/>
    <w:rPr>
      <w:rFonts w:asciiTheme="majorHAnsi" w:eastAsiaTheme="majorEastAsia" w:hAnsiTheme="majorHAnsi" w:cstheme="majorBidi"/>
      <w:color w:val="1F4D78" w:themeColor="accent1" w:themeShade="7F"/>
      <w:sz w:val="24"/>
      <w:szCs w:val="24"/>
    </w:rPr>
  </w:style>
  <w:style w:type="paragraph" w:customStyle="1" w:styleId="textodajustif">
    <w:name w:val="textodajustif"/>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10F07"/>
    <w:rPr>
      <w:color w:val="0000FF"/>
      <w:u w:val="single"/>
    </w:rPr>
  </w:style>
  <w:style w:type="paragraph" w:customStyle="1" w:styleId="41textoacordo">
    <w:name w:val="4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677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3ementa">
    <w:name w:val="3ementa"/>
    <w:basedOn w:val="Normal"/>
    <w:rsid w:val="001708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odapchar">
    <w:name w:val="rodapchar"/>
    <w:basedOn w:val="Fontepargpadro"/>
    <w:rsid w:val="007D74B2"/>
  </w:style>
  <w:style w:type="paragraph" w:customStyle="1" w:styleId="a1-1tituloacordo">
    <w:name w:val="a1-1tituloacordo"/>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3ementa">
    <w:name w:val="a3ementa"/>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E509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E509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E509D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3132">
      <w:bodyDiv w:val="1"/>
      <w:marLeft w:val="0"/>
      <w:marRight w:val="0"/>
      <w:marTop w:val="0"/>
      <w:marBottom w:val="0"/>
      <w:divBdr>
        <w:top w:val="none" w:sz="0" w:space="0" w:color="auto"/>
        <w:left w:val="none" w:sz="0" w:space="0" w:color="auto"/>
        <w:bottom w:val="none" w:sz="0" w:space="0" w:color="auto"/>
        <w:right w:val="none" w:sz="0" w:space="0" w:color="auto"/>
      </w:divBdr>
    </w:div>
    <w:div w:id="318309731">
      <w:bodyDiv w:val="1"/>
      <w:marLeft w:val="0"/>
      <w:marRight w:val="0"/>
      <w:marTop w:val="0"/>
      <w:marBottom w:val="0"/>
      <w:divBdr>
        <w:top w:val="none" w:sz="0" w:space="0" w:color="auto"/>
        <w:left w:val="none" w:sz="0" w:space="0" w:color="auto"/>
        <w:bottom w:val="none" w:sz="0" w:space="0" w:color="auto"/>
        <w:right w:val="none" w:sz="0" w:space="0" w:color="auto"/>
      </w:divBdr>
      <w:divsChild>
        <w:div w:id="690568297">
          <w:marLeft w:val="0"/>
          <w:marRight w:val="0"/>
          <w:marTop w:val="0"/>
          <w:marBottom w:val="0"/>
          <w:divBdr>
            <w:top w:val="none" w:sz="0" w:space="0" w:color="auto"/>
            <w:left w:val="none" w:sz="0" w:space="0" w:color="auto"/>
            <w:bottom w:val="none" w:sz="0" w:space="0" w:color="auto"/>
            <w:right w:val="none" w:sz="0" w:space="0" w:color="auto"/>
          </w:divBdr>
        </w:div>
      </w:divsChild>
    </w:div>
    <w:div w:id="768623273">
      <w:bodyDiv w:val="1"/>
      <w:marLeft w:val="0"/>
      <w:marRight w:val="0"/>
      <w:marTop w:val="0"/>
      <w:marBottom w:val="0"/>
      <w:divBdr>
        <w:top w:val="none" w:sz="0" w:space="0" w:color="auto"/>
        <w:left w:val="none" w:sz="0" w:space="0" w:color="auto"/>
        <w:bottom w:val="none" w:sz="0" w:space="0" w:color="auto"/>
        <w:right w:val="none" w:sz="0" w:space="0" w:color="auto"/>
      </w:divBdr>
    </w:div>
    <w:div w:id="1029453968">
      <w:bodyDiv w:val="1"/>
      <w:marLeft w:val="0"/>
      <w:marRight w:val="0"/>
      <w:marTop w:val="0"/>
      <w:marBottom w:val="0"/>
      <w:divBdr>
        <w:top w:val="none" w:sz="0" w:space="0" w:color="auto"/>
        <w:left w:val="none" w:sz="0" w:space="0" w:color="auto"/>
        <w:bottom w:val="none" w:sz="0" w:space="0" w:color="auto"/>
        <w:right w:val="none" w:sz="0" w:space="0" w:color="auto"/>
      </w:divBdr>
      <w:divsChild>
        <w:div w:id="893396624">
          <w:marLeft w:val="0"/>
          <w:marRight w:val="0"/>
          <w:marTop w:val="0"/>
          <w:marBottom w:val="0"/>
          <w:divBdr>
            <w:top w:val="none" w:sz="0" w:space="0" w:color="auto"/>
            <w:left w:val="none" w:sz="0" w:space="0" w:color="auto"/>
            <w:bottom w:val="none" w:sz="0" w:space="0" w:color="auto"/>
            <w:right w:val="none" w:sz="0" w:space="0" w:color="auto"/>
          </w:divBdr>
        </w:div>
        <w:div w:id="75907845">
          <w:marLeft w:val="0"/>
          <w:marRight w:val="0"/>
          <w:marTop w:val="0"/>
          <w:marBottom w:val="0"/>
          <w:divBdr>
            <w:top w:val="none" w:sz="0" w:space="0" w:color="auto"/>
            <w:left w:val="none" w:sz="0" w:space="0" w:color="auto"/>
            <w:bottom w:val="none" w:sz="0" w:space="0" w:color="auto"/>
            <w:right w:val="none" w:sz="0" w:space="0" w:color="auto"/>
          </w:divBdr>
          <w:divsChild>
            <w:div w:id="2110930618">
              <w:marLeft w:val="0"/>
              <w:marRight w:val="0"/>
              <w:marTop w:val="0"/>
              <w:marBottom w:val="0"/>
              <w:divBdr>
                <w:top w:val="none" w:sz="0" w:space="0" w:color="auto"/>
                <w:left w:val="none" w:sz="0" w:space="0" w:color="auto"/>
                <w:bottom w:val="none" w:sz="0" w:space="0" w:color="auto"/>
                <w:right w:val="none" w:sz="0" w:space="0" w:color="auto"/>
              </w:divBdr>
            </w:div>
            <w:div w:id="129246312">
              <w:marLeft w:val="0"/>
              <w:marRight w:val="0"/>
              <w:marTop w:val="0"/>
              <w:marBottom w:val="0"/>
              <w:divBdr>
                <w:top w:val="none" w:sz="0" w:space="0" w:color="auto"/>
                <w:left w:val="none" w:sz="0" w:space="0" w:color="auto"/>
                <w:bottom w:val="none" w:sz="0" w:space="0" w:color="auto"/>
                <w:right w:val="none" w:sz="0" w:space="0" w:color="auto"/>
              </w:divBdr>
            </w:div>
            <w:div w:id="1257713575">
              <w:marLeft w:val="0"/>
              <w:marRight w:val="0"/>
              <w:marTop w:val="0"/>
              <w:marBottom w:val="0"/>
              <w:divBdr>
                <w:top w:val="none" w:sz="0" w:space="0" w:color="auto"/>
                <w:left w:val="none" w:sz="0" w:space="0" w:color="auto"/>
                <w:bottom w:val="none" w:sz="0" w:space="0" w:color="auto"/>
                <w:right w:val="none" w:sz="0" w:space="0" w:color="auto"/>
              </w:divBdr>
            </w:div>
            <w:div w:id="525023092">
              <w:marLeft w:val="0"/>
              <w:marRight w:val="0"/>
              <w:marTop w:val="0"/>
              <w:marBottom w:val="0"/>
              <w:divBdr>
                <w:top w:val="none" w:sz="0" w:space="0" w:color="auto"/>
                <w:left w:val="none" w:sz="0" w:space="0" w:color="auto"/>
                <w:bottom w:val="none" w:sz="0" w:space="0" w:color="auto"/>
                <w:right w:val="none" w:sz="0" w:space="0" w:color="auto"/>
              </w:divBdr>
            </w:div>
            <w:div w:id="1971596357">
              <w:marLeft w:val="0"/>
              <w:marRight w:val="0"/>
              <w:marTop w:val="0"/>
              <w:marBottom w:val="0"/>
              <w:divBdr>
                <w:top w:val="none" w:sz="0" w:space="0" w:color="auto"/>
                <w:left w:val="none" w:sz="0" w:space="0" w:color="auto"/>
                <w:bottom w:val="none" w:sz="0" w:space="0" w:color="auto"/>
                <w:right w:val="none" w:sz="0" w:space="0" w:color="auto"/>
              </w:divBdr>
            </w:div>
            <w:div w:id="1794866186">
              <w:marLeft w:val="0"/>
              <w:marRight w:val="0"/>
              <w:marTop w:val="0"/>
              <w:marBottom w:val="0"/>
              <w:divBdr>
                <w:top w:val="none" w:sz="0" w:space="0" w:color="auto"/>
                <w:left w:val="none" w:sz="0" w:space="0" w:color="auto"/>
                <w:bottom w:val="none" w:sz="0" w:space="0" w:color="auto"/>
                <w:right w:val="none" w:sz="0" w:space="0" w:color="auto"/>
              </w:divBdr>
            </w:div>
            <w:div w:id="1052118803">
              <w:marLeft w:val="0"/>
              <w:marRight w:val="0"/>
              <w:marTop w:val="0"/>
              <w:marBottom w:val="0"/>
              <w:divBdr>
                <w:top w:val="none" w:sz="0" w:space="0" w:color="auto"/>
                <w:left w:val="none" w:sz="0" w:space="0" w:color="auto"/>
                <w:bottom w:val="none" w:sz="0" w:space="0" w:color="auto"/>
                <w:right w:val="none" w:sz="0" w:space="0" w:color="auto"/>
              </w:divBdr>
            </w:div>
            <w:div w:id="1547374948">
              <w:marLeft w:val="0"/>
              <w:marRight w:val="0"/>
              <w:marTop w:val="0"/>
              <w:marBottom w:val="0"/>
              <w:divBdr>
                <w:top w:val="none" w:sz="0" w:space="0" w:color="auto"/>
                <w:left w:val="none" w:sz="0" w:space="0" w:color="auto"/>
                <w:bottom w:val="none" w:sz="0" w:space="0" w:color="auto"/>
                <w:right w:val="none" w:sz="0" w:space="0" w:color="auto"/>
              </w:divBdr>
            </w:div>
            <w:div w:id="1021542350">
              <w:marLeft w:val="0"/>
              <w:marRight w:val="0"/>
              <w:marTop w:val="0"/>
              <w:marBottom w:val="0"/>
              <w:divBdr>
                <w:top w:val="none" w:sz="0" w:space="0" w:color="auto"/>
                <w:left w:val="none" w:sz="0" w:space="0" w:color="auto"/>
                <w:bottom w:val="none" w:sz="0" w:space="0" w:color="auto"/>
                <w:right w:val="none" w:sz="0" w:space="0" w:color="auto"/>
              </w:divBdr>
            </w:div>
            <w:div w:id="828256977">
              <w:marLeft w:val="0"/>
              <w:marRight w:val="0"/>
              <w:marTop w:val="0"/>
              <w:marBottom w:val="0"/>
              <w:divBdr>
                <w:top w:val="none" w:sz="0" w:space="0" w:color="auto"/>
                <w:left w:val="none" w:sz="0" w:space="0" w:color="auto"/>
                <w:bottom w:val="none" w:sz="0" w:space="0" w:color="auto"/>
                <w:right w:val="none" w:sz="0" w:space="0" w:color="auto"/>
              </w:divBdr>
            </w:div>
            <w:div w:id="371151175">
              <w:marLeft w:val="0"/>
              <w:marRight w:val="0"/>
              <w:marTop w:val="0"/>
              <w:marBottom w:val="0"/>
              <w:divBdr>
                <w:top w:val="none" w:sz="0" w:space="0" w:color="auto"/>
                <w:left w:val="none" w:sz="0" w:space="0" w:color="auto"/>
                <w:bottom w:val="none" w:sz="0" w:space="0" w:color="auto"/>
                <w:right w:val="none" w:sz="0" w:space="0" w:color="auto"/>
              </w:divBdr>
            </w:div>
            <w:div w:id="978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71753">
          <w:marLeft w:val="0"/>
          <w:marRight w:val="0"/>
          <w:marTop w:val="0"/>
          <w:marBottom w:val="0"/>
          <w:divBdr>
            <w:top w:val="none" w:sz="0" w:space="0" w:color="auto"/>
            <w:left w:val="none" w:sz="0" w:space="0" w:color="auto"/>
            <w:bottom w:val="none" w:sz="0" w:space="0" w:color="auto"/>
            <w:right w:val="none" w:sz="0" w:space="0" w:color="auto"/>
          </w:divBdr>
        </w:div>
      </w:divsChild>
    </w:div>
    <w:div w:id="1444691976">
      <w:bodyDiv w:val="1"/>
      <w:marLeft w:val="0"/>
      <w:marRight w:val="0"/>
      <w:marTop w:val="0"/>
      <w:marBottom w:val="0"/>
      <w:divBdr>
        <w:top w:val="none" w:sz="0" w:space="0" w:color="auto"/>
        <w:left w:val="none" w:sz="0" w:space="0" w:color="auto"/>
        <w:bottom w:val="none" w:sz="0" w:space="0" w:color="auto"/>
        <w:right w:val="none" w:sz="0" w:space="0" w:color="auto"/>
      </w:divBdr>
      <w:divsChild>
        <w:div w:id="1269776961">
          <w:marLeft w:val="0"/>
          <w:marRight w:val="0"/>
          <w:marTop w:val="0"/>
          <w:marBottom w:val="0"/>
          <w:divBdr>
            <w:top w:val="none" w:sz="0" w:space="0" w:color="auto"/>
            <w:left w:val="none" w:sz="0" w:space="0" w:color="auto"/>
            <w:bottom w:val="none" w:sz="0" w:space="0" w:color="auto"/>
            <w:right w:val="none" w:sz="0" w:space="0" w:color="auto"/>
          </w:divBdr>
        </w:div>
      </w:divsChild>
    </w:div>
    <w:div w:id="1510679255">
      <w:bodyDiv w:val="1"/>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
      </w:divsChild>
    </w:div>
    <w:div w:id="1624994857">
      <w:bodyDiv w:val="1"/>
      <w:marLeft w:val="0"/>
      <w:marRight w:val="0"/>
      <w:marTop w:val="0"/>
      <w:marBottom w:val="0"/>
      <w:divBdr>
        <w:top w:val="none" w:sz="0" w:space="0" w:color="auto"/>
        <w:left w:val="none" w:sz="0" w:space="0" w:color="auto"/>
        <w:bottom w:val="none" w:sz="0" w:space="0" w:color="auto"/>
        <w:right w:val="none" w:sz="0" w:space="0" w:color="auto"/>
      </w:divBdr>
      <w:divsChild>
        <w:div w:id="2078278465">
          <w:marLeft w:val="0"/>
          <w:marRight w:val="0"/>
          <w:marTop w:val="0"/>
          <w:marBottom w:val="0"/>
          <w:divBdr>
            <w:top w:val="none" w:sz="0" w:space="0" w:color="auto"/>
            <w:left w:val="none" w:sz="0" w:space="0" w:color="auto"/>
            <w:bottom w:val="none" w:sz="0" w:space="0" w:color="auto"/>
            <w:right w:val="none" w:sz="0" w:space="0" w:color="auto"/>
          </w:divBdr>
        </w:div>
      </w:divsChild>
    </w:div>
    <w:div w:id="1713921092">
      <w:bodyDiv w:val="1"/>
      <w:marLeft w:val="0"/>
      <w:marRight w:val="0"/>
      <w:marTop w:val="0"/>
      <w:marBottom w:val="0"/>
      <w:divBdr>
        <w:top w:val="none" w:sz="0" w:space="0" w:color="auto"/>
        <w:left w:val="none" w:sz="0" w:space="0" w:color="auto"/>
        <w:bottom w:val="none" w:sz="0" w:space="0" w:color="auto"/>
        <w:right w:val="none" w:sz="0" w:space="0" w:color="auto"/>
      </w:divBdr>
      <w:divsChild>
        <w:div w:id="1223297961">
          <w:marLeft w:val="0"/>
          <w:marRight w:val="0"/>
          <w:marTop w:val="0"/>
          <w:marBottom w:val="0"/>
          <w:divBdr>
            <w:top w:val="none" w:sz="0" w:space="0" w:color="auto"/>
            <w:left w:val="none" w:sz="0" w:space="0" w:color="auto"/>
            <w:bottom w:val="none" w:sz="0" w:space="0" w:color="auto"/>
            <w:right w:val="none" w:sz="0" w:space="0" w:color="auto"/>
          </w:divBdr>
        </w:div>
      </w:divsChild>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sChild>
        <w:div w:id="1057049682">
          <w:marLeft w:val="0"/>
          <w:marRight w:val="0"/>
          <w:marTop w:val="0"/>
          <w:marBottom w:val="0"/>
          <w:divBdr>
            <w:top w:val="none" w:sz="0" w:space="0" w:color="auto"/>
            <w:left w:val="none" w:sz="0" w:space="0" w:color="auto"/>
            <w:bottom w:val="none" w:sz="0" w:space="0" w:color="auto"/>
            <w:right w:val="none" w:sz="0" w:space="0" w:color="auto"/>
          </w:divBdr>
        </w:div>
      </w:divsChild>
    </w:div>
    <w:div w:id="2127501346">
      <w:bodyDiv w:val="1"/>
      <w:marLeft w:val="0"/>
      <w:marRight w:val="0"/>
      <w:marTop w:val="0"/>
      <w:marBottom w:val="0"/>
      <w:divBdr>
        <w:top w:val="none" w:sz="0" w:space="0" w:color="auto"/>
        <w:left w:val="none" w:sz="0" w:space="0" w:color="auto"/>
        <w:bottom w:val="none" w:sz="0" w:space="0" w:color="auto"/>
        <w:right w:val="none" w:sz="0" w:space="0" w:color="auto"/>
      </w:divBdr>
      <w:divsChild>
        <w:div w:id="1817793652">
          <w:marLeft w:val="0"/>
          <w:marRight w:val="0"/>
          <w:marTop w:val="0"/>
          <w:marBottom w:val="0"/>
          <w:divBdr>
            <w:top w:val="none" w:sz="0" w:space="0" w:color="auto"/>
            <w:left w:val="none" w:sz="0" w:space="0" w:color="auto"/>
            <w:bottom w:val="none" w:sz="0" w:space="0" w:color="auto"/>
            <w:right w:val="none" w:sz="0" w:space="0" w:color="auto"/>
          </w:divBdr>
        </w:div>
        <w:div w:id="606739871">
          <w:marLeft w:val="0"/>
          <w:marRight w:val="0"/>
          <w:marTop w:val="0"/>
          <w:marBottom w:val="0"/>
          <w:divBdr>
            <w:top w:val="none" w:sz="0" w:space="0" w:color="auto"/>
            <w:left w:val="none" w:sz="0" w:space="0" w:color="auto"/>
            <w:bottom w:val="none" w:sz="0" w:space="0" w:color="auto"/>
            <w:right w:val="none" w:sz="0" w:space="0" w:color="auto"/>
          </w:divBdr>
          <w:divsChild>
            <w:div w:id="2128356177">
              <w:marLeft w:val="0"/>
              <w:marRight w:val="0"/>
              <w:marTop w:val="0"/>
              <w:marBottom w:val="0"/>
              <w:divBdr>
                <w:top w:val="none" w:sz="0" w:space="0" w:color="auto"/>
                <w:left w:val="none" w:sz="0" w:space="0" w:color="auto"/>
                <w:bottom w:val="none" w:sz="0" w:space="0" w:color="auto"/>
                <w:right w:val="none" w:sz="0" w:space="0" w:color="auto"/>
              </w:divBdr>
            </w:div>
            <w:div w:id="2091386085">
              <w:marLeft w:val="0"/>
              <w:marRight w:val="0"/>
              <w:marTop w:val="0"/>
              <w:marBottom w:val="0"/>
              <w:divBdr>
                <w:top w:val="none" w:sz="0" w:space="0" w:color="auto"/>
                <w:left w:val="none" w:sz="0" w:space="0" w:color="auto"/>
                <w:bottom w:val="none" w:sz="0" w:space="0" w:color="auto"/>
                <w:right w:val="none" w:sz="0" w:space="0" w:color="auto"/>
              </w:divBdr>
            </w:div>
            <w:div w:id="1638681122">
              <w:marLeft w:val="0"/>
              <w:marRight w:val="0"/>
              <w:marTop w:val="0"/>
              <w:marBottom w:val="0"/>
              <w:divBdr>
                <w:top w:val="none" w:sz="0" w:space="0" w:color="auto"/>
                <w:left w:val="none" w:sz="0" w:space="0" w:color="auto"/>
                <w:bottom w:val="none" w:sz="0" w:space="0" w:color="auto"/>
                <w:right w:val="none" w:sz="0" w:space="0" w:color="auto"/>
              </w:divBdr>
            </w:div>
            <w:div w:id="640311403">
              <w:marLeft w:val="0"/>
              <w:marRight w:val="0"/>
              <w:marTop w:val="0"/>
              <w:marBottom w:val="0"/>
              <w:divBdr>
                <w:top w:val="none" w:sz="0" w:space="0" w:color="auto"/>
                <w:left w:val="none" w:sz="0" w:space="0" w:color="auto"/>
                <w:bottom w:val="none" w:sz="0" w:space="0" w:color="auto"/>
                <w:right w:val="none" w:sz="0" w:space="0" w:color="auto"/>
              </w:divBdr>
            </w:div>
            <w:div w:id="472792398">
              <w:marLeft w:val="0"/>
              <w:marRight w:val="0"/>
              <w:marTop w:val="0"/>
              <w:marBottom w:val="0"/>
              <w:divBdr>
                <w:top w:val="none" w:sz="0" w:space="0" w:color="auto"/>
                <w:left w:val="none" w:sz="0" w:space="0" w:color="auto"/>
                <w:bottom w:val="none" w:sz="0" w:space="0" w:color="auto"/>
                <w:right w:val="none" w:sz="0" w:space="0" w:color="auto"/>
              </w:divBdr>
            </w:div>
            <w:div w:id="57897535">
              <w:marLeft w:val="0"/>
              <w:marRight w:val="0"/>
              <w:marTop w:val="0"/>
              <w:marBottom w:val="0"/>
              <w:divBdr>
                <w:top w:val="none" w:sz="0" w:space="0" w:color="auto"/>
                <w:left w:val="none" w:sz="0" w:space="0" w:color="auto"/>
                <w:bottom w:val="none" w:sz="0" w:space="0" w:color="auto"/>
                <w:right w:val="none" w:sz="0" w:space="0" w:color="auto"/>
              </w:divBdr>
            </w:div>
            <w:div w:id="298460610">
              <w:marLeft w:val="0"/>
              <w:marRight w:val="0"/>
              <w:marTop w:val="0"/>
              <w:marBottom w:val="0"/>
              <w:divBdr>
                <w:top w:val="none" w:sz="0" w:space="0" w:color="auto"/>
                <w:left w:val="none" w:sz="0" w:space="0" w:color="auto"/>
                <w:bottom w:val="none" w:sz="0" w:space="0" w:color="auto"/>
                <w:right w:val="none" w:sz="0" w:space="0" w:color="auto"/>
              </w:divBdr>
            </w:div>
            <w:div w:id="301230145">
              <w:marLeft w:val="0"/>
              <w:marRight w:val="0"/>
              <w:marTop w:val="0"/>
              <w:marBottom w:val="0"/>
              <w:divBdr>
                <w:top w:val="none" w:sz="0" w:space="0" w:color="auto"/>
                <w:left w:val="none" w:sz="0" w:space="0" w:color="auto"/>
                <w:bottom w:val="none" w:sz="0" w:space="0" w:color="auto"/>
                <w:right w:val="none" w:sz="0" w:space="0" w:color="auto"/>
              </w:divBdr>
            </w:div>
            <w:div w:id="880439756">
              <w:marLeft w:val="0"/>
              <w:marRight w:val="0"/>
              <w:marTop w:val="0"/>
              <w:marBottom w:val="0"/>
              <w:divBdr>
                <w:top w:val="none" w:sz="0" w:space="0" w:color="auto"/>
                <w:left w:val="none" w:sz="0" w:space="0" w:color="auto"/>
                <w:bottom w:val="none" w:sz="0" w:space="0" w:color="auto"/>
                <w:right w:val="none" w:sz="0" w:space="0" w:color="auto"/>
              </w:divBdr>
            </w:div>
            <w:div w:id="1510371916">
              <w:marLeft w:val="0"/>
              <w:marRight w:val="0"/>
              <w:marTop w:val="0"/>
              <w:marBottom w:val="0"/>
              <w:divBdr>
                <w:top w:val="none" w:sz="0" w:space="0" w:color="auto"/>
                <w:left w:val="none" w:sz="0" w:space="0" w:color="auto"/>
                <w:bottom w:val="none" w:sz="0" w:space="0" w:color="auto"/>
                <w:right w:val="none" w:sz="0" w:space="0" w:color="auto"/>
              </w:divBdr>
            </w:div>
            <w:div w:id="1728338112">
              <w:marLeft w:val="0"/>
              <w:marRight w:val="0"/>
              <w:marTop w:val="0"/>
              <w:marBottom w:val="0"/>
              <w:divBdr>
                <w:top w:val="none" w:sz="0" w:space="0" w:color="auto"/>
                <w:left w:val="none" w:sz="0" w:space="0" w:color="auto"/>
                <w:bottom w:val="none" w:sz="0" w:space="0" w:color="auto"/>
                <w:right w:val="none" w:sz="0" w:space="0" w:color="auto"/>
              </w:divBdr>
            </w:div>
            <w:div w:id="16873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7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4.0.6\pessoal\confaz\protocolos%20versao%2067\PT043_11.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fazenda.gov.br/confaz/confaz/protocolos/ICMS/2011/PT013_11.htm" TargetMode="External"/><Relationship Id="rId12" Type="http://schemas.openxmlformats.org/officeDocument/2006/relationships/hyperlink" Target="https://www1.fazenda.gov.br/confaz/confaz/protocolos/ICMS/2014/PT006_1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10.14.0.6\pessoal\confaz\protocolos%20versao%2067\PT030_11.doc" TargetMode="External"/><Relationship Id="rId11" Type="http://schemas.openxmlformats.org/officeDocument/2006/relationships/hyperlink" Target="https://www1.fazenda.gov.br/confaz/confaz/Atos/Despacho/2014/DP034_14.htm" TargetMode="External"/><Relationship Id="rId5" Type="http://schemas.openxmlformats.org/officeDocument/2006/relationships/hyperlink" Target="http://www1.fazenda.gov.br/confaz/confaz/protocolos/ICMS/2011/PT013_11.htm" TargetMode="External"/><Relationship Id="rId10" Type="http://schemas.openxmlformats.org/officeDocument/2006/relationships/hyperlink" Target="https://www1.fazenda.gov.br/confaz/confaz/Atos/Despacho/2013/DP185_13.htm" TargetMode="External"/><Relationship Id="rId4" Type="http://schemas.openxmlformats.org/officeDocument/2006/relationships/hyperlink" Target="https://www1.fazenda.gov.br/confaz/confaz/Atos/Despacho/2011/DP050_11.htm" TargetMode="External"/><Relationship Id="rId9" Type="http://schemas.openxmlformats.org/officeDocument/2006/relationships/hyperlink" Target="https://www1.fazenda.gov.br/confaz/confaz/Atos/Despacho/2012/DP074_12.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1500</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Coord. da Receita Estadual do Paraná</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sefa</cp:lastModifiedBy>
  <cp:revision>3</cp:revision>
  <dcterms:created xsi:type="dcterms:W3CDTF">2015-01-07T17:26:00Z</dcterms:created>
  <dcterms:modified xsi:type="dcterms:W3CDTF">2015-04-23T19:31:00Z</dcterms:modified>
</cp:coreProperties>
</file>