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F5" w:rsidRDefault="00DC06F5" w:rsidP="00DC06F5">
      <w:pPr>
        <w:pStyle w:val="tituloacordo"/>
      </w:pPr>
      <w:r>
        <w:t>PROTOCOLO ICMS 29, DE 13 DE ABRIL DE 2011</w:t>
      </w:r>
    </w:p>
    <w:p w:rsidR="00DC06F5" w:rsidRDefault="00DC06F5" w:rsidP="00DC06F5">
      <w:pPr>
        <w:pStyle w:val="datapubli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Publicado no DOU de 25.04.11, pelo Despacho </w:t>
      </w:r>
      <w:hyperlink r:id="rId4" w:history="1">
        <w:r>
          <w:rPr>
            <w:rStyle w:val="Hyperlink"/>
            <w:rFonts w:cs="Arial"/>
          </w:rPr>
          <w:t>62/11</w:t>
        </w:r>
      </w:hyperlink>
      <w:r>
        <w:t>.</w:t>
      </w:r>
    </w:p>
    <w:p w:rsidR="00DC06F5" w:rsidRDefault="00DC06F5" w:rsidP="00DC06F5">
      <w:pPr>
        <w:pStyle w:val="datapubli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Adesão de GO, RJ, RO e SE, pelo Prot. ICMS </w:t>
      </w:r>
      <w:hyperlink r:id="rId5" w:history="1">
        <w:r>
          <w:rPr>
            <w:rStyle w:val="Hyperlink"/>
          </w:rPr>
          <w:t>44/11</w:t>
        </w:r>
      </w:hyperlink>
      <w:r>
        <w:t xml:space="preserve">, efeitos a partir de 01.08.11. </w:t>
      </w:r>
    </w:p>
    <w:p w:rsidR="00DC06F5" w:rsidRDefault="00DC06F5" w:rsidP="00DC06F5">
      <w:pPr>
        <w:pStyle w:val="datapubli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Adesão do PA, pelo Prot. ICMS </w:t>
      </w:r>
      <w:hyperlink r:id="rId6" w:history="1">
        <w:r>
          <w:rPr>
            <w:rStyle w:val="Hyperlink"/>
          </w:rPr>
          <w:t>89/11</w:t>
        </w:r>
      </w:hyperlink>
      <w:r>
        <w:t>, efeitos a partir de 22.12.11.</w:t>
      </w:r>
    </w:p>
    <w:p w:rsidR="00DC06F5" w:rsidRDefault="00DC06F5" w:rsidP="00DC06F5">
      <w:pPr>
        <w:pStyle w:val="datapubli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Exclusão do DF, pelo Prot.</w:t>
      </w:r>
      <w:r w:rsidR="00201E90">
        <w:t xml:space="preserve"> </w:t>
      </w:r>
      <w:r>
        <w:t xml:space="preserve">ICMS </w:t>
      </w:r>
      <w:hyperlink r:id="rId7" w:history="1">
        <w:r>
          <w:rPr>
            <w:rStyle w:val="Hyperlink"/>
          </w:rPr>
          <w:t>40/14</w:t>
        </w:r>
      </w:hyperlink>
      <w:r>
        <w:t>, efeitos a partir de 21.08.14.</w:t>
      </w:r>
    </w:p>
    <w:p w:rsidR="00DC06F5" w:rsidRDefault="00201E90" w:rsidP="00DC06F5">
      <w:pPr>
        <w:pStyle w:val="datapublicao"/>
      </w:pPr>
      <w:r>
        <w:t>Adesão de MS</w:t>
      </w:r>
      <w:bookmarkStart w:id="0" w:name="_GoBack"/>
      <w:bookmarkEnd w:id="0"/>
      <w:r>
        <w:t>, pelo Prot. ICMS 107/14, efeitos a partir de 15.12.14.</w:t>
      </w:r>
    </w:p>
    <w:p w:rsidR="00DC06F5" w:rsidRDefault="00DC06F5" w:rsidP="00DC06F5">
      <w:pPr>
        <w:pStyle w:val="ementa"/>
      </w:pPr>
      <w:r>
        <w:t>Dispõe sobre o transporte interno e interestadual de bens entre estabelecimentos da Tecnologia Bancária S.A.</w:t>
      </w:r>
    </w:p>
    <w:p w:rsidR="00DC06F5" w:rsidRDefault="00DC06F5" w:rsidP="00DC06F5">
      <w:pPr>
        <w:pStyle w:val="textoacordo"/>
      </w:pPr>
      <w:r>
        <w:rPr>
          <w:b/>
        </w:rPr>
        <w:t>Os Estados do Amapá, Amazonas, Bahia, Espírito Santo, Maranhão, Minas Gerais, Paraná, Pernambuco, Piauí, Rio Grande do Norte, Rio Grande do Sul, Roraima, Santa Catarina e São Paulo</w:t>
      </w:r>
      <w:r>
        <w:t xml:space="preserve">, neste ato representados por seus Secretários de Fazenda, e tendo em vista o disposto nos </w:t>
      </w:r>
      <w:proofErr w:type="spellStart"/>
      <w:r>
        <w:t>arts</w:t>
      </w:r>
      <w:proofErr w:type="spellEnd"/>
      <w:r>
        <w:t>. 102 e 199 da Lei nº 5.172, de 25 de outubro de 1966 (Código Tributário Nacional), resolvem celebrar o seguinte</w:t>
      </w:r>
    </w:p>
    <w:p w:rsidR="00DC06F5" w:rsidRDefault="00DC06F5" w:rsidP="00DC06F5">
      <w:pPr>
        <w:pStyle w:val="acordotipo"/>
      </w:pPr>
      <w:r>
        <w:t>P R O T O C O L O</w:t>
      </w:r>
    </w:p>
    <w:p w:rsidR="00DC06F5" w:rsidRDefault="00DC06F5" w:rsidP="00DC06F5">
      <w:pPr>
        <w:pStyle w:val="textoacordo"/>
      </w:pPr>
      <w:r>
        <w:rPr>
          <w:b/>
        </w:rPr>
        <w:t>Cláusula primeira</w:t>
      </w:r>
      <w:r>
        <w:t xml:space="preserve"> Ficam os estabelecimentos da Tecnologia Bancária S/A nos Estados do Amapá, Amazonas, Bahia, Espírito Santo, Maranhão, Minas Gerais, Pernambuco, Piauí, Rio Grande do Norte, Rio Grande do Sul, Roraima, Santa Catarina e São Paulo, autorizados, em substituição à nota fiscal modelo 1 ou 1-A, ou da nota fiscal avulsa, a utilizar o Documento de Controle e Movimentação de Bens - DCM / Guia de Remessa de Material - GRM para acobertar o trânsito interno e interestadual, entre seus estabelecimentos, de bens pertencentes ao seu ativo e de materiais de uso ou consumo.</w:t>
      </w:r>
    </w:p>
    <w:p w:rsidR="00DC06F5" w:rsidRDefault="00DC06F5" w:rsidP="00DC06F5">
      <w:pPr>
        <w:pStyle w:val="textoacordo"/>
      </w:pPr>
      <w:r>
        <w:t>Parágrafo único. Quando os bens transitarem por território de unidade federada não signatária deste Protocolo, deverão estar acompanhados também de cópia deste instrumento.</w:t>
      </w:r>
    </w:p>
    <w:p w:rsidR="00DC06F5" w:rsidRDefault="00DC06F5" w:rsidP="00DC06F5">
      <w:pPr>
        <w:pStyle w:val="textoacordo"/>
      </w:pPr>
      <w:r>
        <w:rPr>
          <w:b/>
        </w:rPr>
        <w:t>Cláusula segunda</w:t>
      </w:r>
      <w:r>
        <w:t xml:space="preserve"> O Documento de Controle e Movimentação de Bens - DCM / Guia de Remessa de Material - GRM, instrumento interno da Tecnologia Bancária S/A, será emitido pelo estabelecimento remetente dos bens, em quatro vias, e conterá, no mínimo, as seguintes indicações:</w:t>
      </w:r>
    </w:p>
    <w:p w:rsidR="00DC06F5" w:rsidRDefault="00DC06F5" w:rsidP="00DC06F5">
      <w:pPr>
        <w:pStyle w:val="textoacordo"/>
      </w:pPr>
      <w:r>
        <w:t>I - denominação Documento de Controle de Movimentação de Bens - DCM e/ou Guia de Remessa de Material - GRM;</w:t>
      </w:r>
    </w:p>
    <w:p w:rsidR="00DC06F5" w:rsidRDefault="00DC06F5" w:rsidP="00DC06F5">
      <w:pPr>
        <w:pStyle w:val="textoacordo"/>
      </w:pPr>
      <w:r>
        <w:t>II - nome, endereço completo e o número de inscrição no Cadastro Nacional de Pessoas Jurídicas do Ministério da Fazenda - CNPJ - dos estabelecimentos remetente e destinatário dos bens;</w:t>
      </w:r>
    </w:p>
    <w:p w:rsidR="00DC06F5" w:rsidRDefault="00DC06F5" w:rsidP="00DC06F5">
      <w:pPr>
        <w:pStyle w:val="textoacordo"/>
      </w:pPr>
      <w:r>
        <w:t>III - descrição dos bens, quantidade, unidade de medida utilizada para quantificá-los, valor unitário e total;</w:t>
      </w:r>
    </w:p>
    <w:p w:rsidR="00DC06F5" w:rsidRDefault="00DC06F5" w:rsidP="00DC06F5">
      <w:pPr>
        <w:pStyle w:val="textoacordo"/>
      </w:pPr>
      <w:r>
        <w:lastRenderedPageBreak/>
        <w:t xml:space="preserve">IV - numeração </w:t>
      </w:r>
      <w:proofErr w:type="spellStart"/>
      <w:r>
        <w:t>seqüencial</w:t>
      </w:r>
      <w:proofErr w:type="spellEnd"/>
      <w:r>
        <w:t>;</w:t>
      </w:r>
    </w:p>
    <w:p w:rsidR="00DC06F5" w:rsidRDefault="00DC06F5" w:rsidP="00DC06F5">
      <w:pPr>
        <w:pStyle w:val="textoacordo"/>
      </w:pPr>
      <w:r>
        <w:t>V - data de emissão e de saída dos bens.</w:t>
      </w:r>
    </w:p>
    <w:p w:rsidR="00DC06F5" w:rsidRDefault="00DC06F5" w:rsidP="00DC06F5">
      <w:pPr>
        <w:pStyle w:val="textoacordo"/>
      </w:pPr>
      <w:r>
        <w:t>§ 1° O Documento de Controle de Movimentação de Bens - DCM / Guia de Remessa de Material - GRM - deverá conter, em todas as suas vias, a seguinte expressão: "Uso autorizado pelo Protocolo ICMS .../2011."</w:t>
      </w:r>
    </w:p>
    <w:p w:rsidR="00DC06F5" w:rsidRDefault="00DC06F5" w:rsidP="00DC06F5">
      <w:pPr>
        <w:pStyle w:val="textoacordo"/>
      </w:pPr>
      <w:r>
        <w:t>§ 2° A confecção do Documento de Controle de Movimentação de Bens - DCM / Guia de Remessa de Material - GRM - independe de autorização do Fisco, devendo, entretanto, ser informada ao Fisco da Unidade Federada do estabelecimento a numeração inicial e final dos documentos impressos, antes de sua utilização.</w:t>
      </w:r>
    </w:p>
    <w:p w:rsidR="00DC06F5" w:rsidRDefault="00DC06F5" w:rsidP="00DC06F5">
      <w:pPr>
        <w:pStyle w:val="textoacordo"/>
      </w:pPr>
      <w:r>
        <w:rPr>
          <w:b/>
        </w:rPr>
        <w:t>Cláusula terceira</w:t>
      </w:r>
      <w:r>
        <w:t xml:space="preserve"> O estabelecimento remetente e o destinatário dos bens deverão conservar, para exibição aos respectivos Fiscos, pelo prazo de cinco anos, contados a partir do primeiro dia do exercício </w:t>
      </w:r>
      <w:proofErr w:type="spellStart"/>
      <w:r>
        <w:t>subseqüente</w:t>
      </w:r>
      <w:proofErr w:type="spellEnd"/>
      <w:r>
        <w:t xml:space="preserve"> ao do transporte dos bens, uma das vias do Documento de Controle e Movimentação de Bens / Guia de Remessa de Material.</w:t>
      </w:r>
    </w:p>
    <w:p w:rsidR="00DC06F5" w:rsidRDefault="00DC06F5" w:rsidP="00DC06F5">
      <w:pPr>
        <w:pStyle w:val="textoacordo"/>
      </w:pPr>
      <w:r>
        <w:rPr>
          <w:b/>
        </w:rPr>
        <w:t>Cláusula quarta</w:t>
      </w:r>
      <w:r>
        <w:t xml:space="preserve"> O Documento de Controle e Movimentação de Bens - DCM / Guia de Remessa de Material - GRM, poderá também ser utilizado para acobertar o trânsito de bens importados do exterior, do local do desembaraço aduaneiro até o do estabelecimento importador, devendo estar acompanhados da Declaração de Importação - DI - e dos comprovantes de importação e de recolhimento do ICMS ou da Guia para Liberação de Mercadoria Estrangeira sem Comprovação do Recolhimento do ICMS.</w:t>
      </w:r>
    </w:p>
    <w:p w:rsidR="00DC06F5" w:rsidRDefault="00DC06F5" w:rsidP="00DC06F5">
      <w:pPr>
        <w:pStyle w:val="textoacordo"/>
      </w:pPr>
      <w:r>
        <w:rPr>
          <w:b/>
        </w:rPr>
        <w:t>Cláusula quinta</w:t>
      </w:r>
      <w:r>
        <w:t xml:space="preserve"> Este protocolo entrará em vigor na data de sua publicação no Diário Oficial da União, produzindo efeitos a partir de 1º de junho de 2011.</w:t>
      </w:r>
    </w:p>
    <w:p w:rsidR="00F23C0E" w:rsidRDefault="00F23C0E"/>
    <w:sectPr w:rsidR="00F23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5"/>
    <w:rsid w:val="00201E90"/>
    <w:rsid w:val="00DC06F5"/>
    <w:rsid w:val="00F2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FC8FC-3269-4BD8-92F7-42D8E3E4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cordo">
    <w:name w:val="tituloacordo"/>
    <w:basedOn w:val="Normal"/>
    <w:rsid w:val="00DC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publicao">
    <w:name w:val="datapublicao"/>
    <w:basedOn w:val="Normal"/>
    <w:rsid w:val="00DC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C06F5"/>
    <w:rPr>
      <w:color w:val="0000FF"/>
      <w:u w:val="single"/>
    </w:rPr>
  </w:style>
  <w:style w:type="paragraph" w:customStyle="1" w:styleId="ementa">
    <w:name w:val="ementa"/>
    <w:basedOn w:val="Normal"/>
    <w:rsid w:val="00DC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">
    <w:name w:val="textoacordo"/>
    <w:basedOn w:val="Normal"/>
    <w:rsid w:val="00DC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DC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1.fazenda.gov.br/confaz/confaz/protocolos/ICMS/2014/PT040_1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fazenda.gov.br/confaz/confaz/protocolos/ICMS/2011/PT089_11.htm" TargetMode="External"/><Relationship Id="rId5" Type="http://schemas.openxmlformats.org/officeDocument/2006/relationships/hyperlink" Target="https://www1.fazenda.gov.br/confaz/confaz/protocolos/ICMS/2011/PT044_11.htm" TargetMode="External"/><Relationship Id="rId4" Type="http://schemas.openxmlformats.org/officeDocument/2006/relationships/hyperlink" Target="file:///D:\Desktop\Normas_Confaz_Versao_53_somente_Alterados\Atos\Despacho\2011\DP062_11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sefa</cp:lastModifiedBy>
  <cp:revision>2</cp:revision>
  <dcterms:created xsi:type="dcterms:W3CDTF">2015-04-29T14:14:00Z</dcterms:created>
  <dcterms:modified xsi:type="dcterms:W3CDTF">2015-04-29T14:19:00Z</dcterms:modified>
</cp:coreProperties>
</file>