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D1" w:rsidRPr="00F617D1" w:rsidRDefault="00F617D1" w:rsidP="0002541B">
      <w:pPr>
        <w:pStyle w:val="A1-1TituloAcordo"/>
      </w:pPr>
      <w:r w:rsidRPr="00F617D1">
        <w:t>PROTOCOLO ICMS 82, DE 30 DE SETEMBRO DE 2011</w:t>
      </w:r>
    </w:p>
    <w:p w:rsidR="00F617D1" w:rsidRPr="00F617D1" w:rsidRDefault="00F617D1" w:rsidP="0002541B">
      <w:pPr>
        <w:pStyle w:val="A2DataPublicacao"/>
      </w:pPr>
      <w:r w:rsidRPr="00F617D1">
        <w:t xml:space="preserve">Publicado no DOU de 11.10.11, pelo Despacho </w:t>
      </w:r>
      <w:hyperlink r:id="rId7" w:history="1">
        <w:r w:rsidRPr="007542CF">
          <w:rPr>
            <w:rStyle w:val="Hyperlink"/>
          </w:rPr>
          <w:t>184/11</w:t>
        </w:r>
      </w:hyperlink>
      <w:r w:rsidRPr="00F617D1">
        <w:t>.</w:t>
      </w:r>
    </w:p>
    <w:p w:rsidR="00F617D1" w:rsidRPr="00F617D1" w:rsidRDefault="00F617D1" w:rsidP="0002541B">
      <w:pPr>
        <w:pStyle w:val="A2DataPublicacao"/>
      </w:pPr>
      <w:r w:rsidRPr="00F617D1">
        <w:t xml:space="preserve">Ver, quanto à aplicação no Estado de GO, o Despacho </w:t>
      </w:r>
      <w:hyperlink r:id="rId8" w:history="1">
        <w:r w:rsidRPr="007542CF">
          <w:rPr>
            <w:rStyle w:val="Hyperlink"/>
          </w:rPr>
          <w:t>235/11</w:t>
        </w:r>
      </w:hyperlink>
      <w:r w:rsidRPr="00F617D1">
        <w:t>.</w:t>
      </w:r>
    </w:p>
    <w:p w:rsidR="00F617D1" w:rsidRPr="00F617D1" w:rsidRDefault="00F617D1" w:rsidP="0002541B">
      <w:pPr>
        <w:pStyle w:val="A2DataPublicacao"/>
      </w:pPr>
      <w:r w:rsidRPr="00F617D1">
        <w:t xml:space="preserve">Alterado pelos </w:t>
      </w:r>
      <w:proofErr w:type="spellStart"/>
      <w:r w:rsidRPr="00F617D1">
        <w:t>Prots</w:t>
      </w:r>
      <w:proofErr w:type="spellEnd"/>
      <w:r w:rsidRPr="00F617D1">
        <w:t xml:space="preserve">. ICMS </w:t>
      </w:r>
      <w:hyperlink r:id="rId9" w:history="1">
        <w:r w:rsidRPr="007542CF">
          <w:rPr>
            <w:rStyle w:val="Hyperlink"/>
          </w:rPr>
          <w:t>120/12</w:t>
        </w:r>
      </w:hyperlink>
      <w:r w:rsidRPr="00F617D1">
        <w:t xml:space="preserve">, </w:t>
      </w:r>
      <w:hyperlink r:id="rId10" w:history="1">
        <w:r w:rsidRPr="007542CF">
          <w:rPr>
            <w:rStyle w:val="Hyperlink"/>
          </w:rPr>
          <w:t>158/13</w:t>
        </w:r>
      </w:hyperlink>
      <w:r w:rsidR="00BB01B8">
        <w:t>, 11/15.</w:t>
      </w:r>
    </w:p>
    <w:p w:rsidR="00F617D1" w:rsidRPr="00F617D1" w:rsidRDefault="00F617D1" w:rsidP="0002541B">
      <w:pPr>
        <w:pStyle w:val="A2DataPublicacao"/>
      </w:pPr>
      <w:r w:rsidRPr="00F617D1">
        <w:t>Convalida as operações com esponjas e palhas de lã de aço ou ferro para limpeza doméstica, classificadas na posição 7323.10.00 da NCM/SH, realizadas até 30.09.12 sem a retenção do imposto correspondente.</w:t>
      </w:r>
    </w:p>
    <w:p w:rsidR="00F617D1" w:rsidRPr="000F347C" w:rsidRDefault="00F617D1" w:rsidP="0002541B">
      <w:pPr>
        <w:pStyle w:val="A3Ementa"/>
      </w:pPr>
      <w:r w:rsidRPr="000F347C">
        <w:t>Dispõe sobre a substituição tributária nas operações com materiais de construção, acabamento, bricolagem ou adorno.</w:t>
      </w:r>
    </w:p>
    <w:p w:rsidR="00F617D1" w:rsidRPr="00F617D1" w:rsidRDefault="00F617D1" w:rsidP="0002541B">
      <w:pPr>
        <w:pStyle w:val="A5-1TextoAcordo"/>
      </w:pPr>
      <w:r w:rsidRPr="00F617D1">
        <w:rPr>
          <w:b/>
          <w:bCs/>
        </w:rPr>
        <w:t>Os Estados de</w:t>
      </w:r>
      <w:r w:rsidRPr="00F617D1">
        <w:rPr>
          <w:b/>
        </w:rPr>
        <w:t xml:space="preserve"> Goiás e São Paulo, </w:t>
      </w:r>
      <w:r w:rsidRPr="00F617D1">
        <w:t>neste ato representados pelos seus respectivos Secretários de Fazenda</w:t>
      </w:r>
      <w:r w:rsidRPr="00F617D1">
        <w:rPr>
          <w:bCs/>
        </w:rPr>
        <w:t>,</w:t>
      </w:r>
      <w:r w:rsidRPr="00F617D1">
        <w:t xml:space="preserve"> reunidos em Manaus, AM, no dia 30</w:t>
      </w:r>
      <w:r w:rsidRPr="00F617D1">
        <w:rPr>
          <w:bCs/>
        </w:rPr>
        <w:t xml:space="preserve"> de setembro de 2011</w:t>
      </w:r>
      <w:r w:rsidRPr="00F617D1">
        <w:t xml:space="preserve">, considerando o disposto nos </w:t>
      </w:r>
      <w:proofErr w:type="spellStart"/>
      <w:r w:rsidRPr="00F617D1">
        <w:t>arts</w:t>
      </w:r>
      <w:proofErr w:type="spellEnd"/>
      <w:r w:rsidRPr="00F617D1">
        <w:t>. 102 e 199 do Código Tributário Nacional (Lei nº 5.172, de 25 de outubro de 1966), e no art. 9º da Lei Complementar nº 87/96, de 13 de setembro de 1996, e o disposto nos Convênios ICMS 81/93, de 10 de setembro de 1993, e 70/97, de 25 de julho de 1997, resolvem celebrar o seguinte</w:t>
      </w:r>
    </w:p>
    <w:p w:rsidR="00F617D1" w:rsidRPr="0094128D" w:rsidRDefault="00F617D1" w:rsidP="0002541B">
      <w:pPr>
        <w:pStyle w:val="A4AcordoTipo"/>
      </w:pPr>
      <w:r w:rsidRPr="0094128D">
        <w:t>P R O T O C O L O</w:t>
      </w:r>
    </w:p>
    <w:p w:rsidR="00F617D1" w:rsidRPr="00F617D1" w:rsidRDefault="00F617D1" w:rsidP="0002541B">
      <w:pPr>
        <w:pStyle w:val="A5-1TextoAcordo"/>
      </w:pPr>
      <w:r w:rsidRPr="00F617D1">
        <w:rPr>
          <w:b/>
          <w:bCs/>
        </w:rPr>
        <w:t xml:space="preserve">Cláusula primeira </w:t>
      </w:r>
      <w:r w:rsidRPr="00F617D1">
        <w:t xml:space="preserve">Nas operações interestaduais com as mercadorias listadas no Anexo Único, com a respectiva classificação na </w:t>
      </w:r>
      <w:r w:rsidRPr="00F617D1">
        <w:rPr>
          <w:bCs/>
        </w:rPr>
        <w:t>Nomenclatura Comum</w:t>
      </w:r>
      <w:r w:rsidRPr="00F617D1">
        <w:t xml:space="preserve"> do Mercosul/Sistema Harmonizado - </w:t>
      </w:r>
      <w:r w:rsidRPr="00F617D1">
        <w:rPr>
          <w:bCs/>
        </w:rPr>
        <w:t>NCM</w:t>
      </w:r>
      <w:r w:rsidRPr="00F617D1">
        <w:t>/</w:t>
      </w:r>
      <w:r w:rsidRPr="00F617D1">
        <w:rPr>
          <w:bCs/>
        </w:rPr>
        <w:t>SH -</w:t>
      </w:r>
      <w:r w:rsidRPr="00F617D1">
        <w:t xml:space="preserve">, destinadas ao Estado de Goiás, fica atribuída ao contribuinte industrial ou importador, na qualidade de sujeito passivo por substituição tributária, a responsabilidade pela retenção e recolhimento do Imposto sobre </w:t>
      </w:r>
      <w:r w:rsidRPr="00F617D1">
        <w:rPr>
          <w:bCs/>
        </w:rPr>
        <w:t>Operações</w:t>
      </w:r>
      <w:r w:rsidRPr="00F617D1">
        <w:t xml:space="preserve"> Relativas à Circulação de Mercadorias e sobre Prestações de Serviços de Transporte Interestadual e Intermunicipal e de Comunicação - ICMS - relativo às operações subsequentes.</w:t>
      </w:r>
    </w:p>
    <w:p w:rsidR="007D3C03" w:rsidRPr="007D3C03" w:rsidRDefault="007D3C03" w:rsidP="0002541B">
      <w:pPr>
        <w:pStyle w:val="A8-1Remissao"/>
      </w:pPr>
      <w:r w:rsidRPr="007D3C03">
        <w:t>Renumerado o parágrafo único</w:t>
      </w:r>
      <w:r w:rsidR="00006638">
        <w:t xml:space="preserve"> da cláusula primeira</w:t>
      </w:r>
      <w:r w:rsidRPr="007D3C03">
        <w:t xml:space="preserve"> para § 1º pelo Prot. ICMS 158/13, efeitos a partir de 01.01.14.</w:t>
      </w:r>
    </w:p>
    <w:p w:rsidR="007D3C03" w:rsidRDefault="007D3C03" w:rsidP="00EA03B3">
      <w:pPr>
        <w:pStyle w:val="A5-1TextoAcordo"/>
      </w:pPr>
      <w:r>
        <w:rPr>
          <w:bCs/>
        </w:rPr>
        <w:t xml:space="preserve">§ 1º </w:t>
      </w:r>
      <w:r w:rsidRPr="00F617D1">
        <w:t xml:space="preserve">O disposto no </w:t>
      </w:r>
      <w:r w:rsidRPr="00F617D1">
        <w:rPr>
          <w:i/>
        </w:rPr>
        <w:t>caput</w:t>
      </w:r>
      <w:r w:rsidRPr="00F617D1">
        <w:t xml:space="preserve"> 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 ou consumo ou ativo permanente.</w:t>
      </w:r>
    </w:p>
    <w:p w:rsidR="007D3C03" w:rsidRPr="007D3C03" w:rsidRDefault="007D3C03" w:rsidP="00EA03B3">
      <w:pPr>
        <w:pStyle w:val="A8-2RemissaoAnt"/>
      </w:pPr>
      <w:r w:rsidRPr="007D3C03">
        <w:t>Redação original em vigor de 01.01.12 até 31.12.13:</w:t>
      </w:r>
    </w:p>
    <w:p w:rsidR="00F617D1" w:rsidRPr="007D3C03" w:rsidRDefault="00F617D1" w:rsidP="00EA03B3">
      <w:pPr>
        <w:pStyle w:val="A8-3RedacaoAnt"/>
      </w:pPr>
      <w:r w:rsidRPr="007D3C03">
        <w:rPr>
          <w:bCs/>
        </w:rPr>
        <w:t>Parágrafo único</w:t>
      </w:r>
      <w:r w:rsidRPr="007D3C03">
        <w:t xml:space="preserve">. O disposto no </w:t>
      </w:r>
      <w:r w:rsidRPr="007D3C03">
        <w:rPr>
          <w:i/>
        </w:rPr>
        <w:t>caput</w:t>
      </w:r>
      <w:r w:rsidRPr="007D3C03">
        <w:t xml:space="preserve"> 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 ou consumo ou ativo permanente.</w:t>
      </w:r>
    </w:p>
    <w:p w:rsidR="0091507B" w:rsidRPr="007D3C03" w:rsidRDefault="0091507B" w:rsidP="00EA03B3">
      <w:pPr>
        <w:pStyle w:val="A8-1Remissao"/>
      </w:pPr>
      <w:r>
        <w:t xml:space="preserve">Acrescido o </w:t>
      </w:r>
      <w:r w:rsidR="00AF011B">
        <w:t>§ 2</w:t>
      </w:r>
      <w:r w:rsidRPr="007D3C03">
        <w:t>º</w:t>
      </w:r>
      <w:r>
        <w:t xml:space="preserve"> à cláusula primeira</w:t>
      </w:r>
      <w:r w:rsidRPr="007D3C03">
        <w:t xml:space="preserve"> pelo Prot. ICMS 158/13, efeitos a partir de 01.01.14.</w:t>
      </w:r>
    </w:p>
    <w:p w:rsidR="0091507B" w:rsidRPr="00CD022D" w:rsidRDefault="0091507B" w:rsidP="00EA03B3">
      <w:pPr>
        <w:pStyle w:val="A5-1TextoAcordo"/>
      </w:pPr>
      <w:r w:rsidRPr="00CD022D">
        <w:t>§ 2º O disposto neste protocolo não se aplica às operações que destinem mercadorias a estabelecimento comercial atacadista localizado no Estado de Goiás ao qual foi atribuída a condição de substituto tributário em relação à operação interna.</w:t>
      </w:r>
    </w:p>
    <w:p w:rsidR="00AF011B" w:rsidRPr="007D3C03" w:rsidRDefault="00AF011B" w:rsidP="00EA03B3">
      <w:pPr>
        <w:pStyle w:val="A8-1Remissao"/>
      </w:pPr>
      <w:r>
        <w:t>Acrescido o § 3</w:t>
      </w:r>
      <w:r w:rsidRPr="007D3C03">
        <w:t>º</w:t>
      </w:r>
      <w:r>
        <w:t xml:space="preserve"> à cláusula primeira</w:t>
      </w:r>
      <w:r w:rsidRPr="007D3C03">
        <w:t xml:space="preserve"> pelo Prot. ICMS 158/13, efeitos a partir de 01.01.14.</w:t>
      </w:r>
    </w:p>
    <w:p w:rsidR="0091507B" w:rsidRPr="00CD022D" w:rsidRDefault="0091507B" w:rsidP="00EA03B3">
      <w:pPr>
        <w:pStyle w:val="A5-1TextoAcordo"/>
      </w:pPr>
      <w:r w:rsidRPr="00CD022D">
        <w:t>§ 3º O disposto no § 2º somente se aplica após a disponibilização, no sítio eletrônico da Secretaria de Fazenda do Estado de Goiás, do rol de contribuintes aos quais tenha sido atribuída a condição de substituto tributário a que se</w:t>
      </w:r>
      <w:r>
        <w:t xml:space="preserve"> refere o mencionado parágrafo.</w:t>
      </w:r>
    </w:p>
    <w:p w:rsidR="00F617D1" w:rsidRPr="00F617D1" w:rsidRDefault="00F617D1" w:rsidP="00EA03B3">
      <w:pPr>
        <w:pStyle w:val="A5-1TextoAcordo"/>
      </w:pPr>
      <w:r w:rsidRPr="00F617D1">
        <w:rPr>
          <w:b/>
          <w:bCs/>
        </w:rPr>
        <w:t>Cláusula segunda</w:t>
      </w:r>
      <w:r w:rsidRPr="00F617D1">
        <w:t xml:space="preserve"> A base de cálculo do imposto, para os fins de substituição tributária, será o valor correspondente ao preço único ou máximo de venda a varejo fixado pelo órgão público competente.</w:t>
      </w:r>
    </w:p>
    <w:p w:rsidR="00F617D1" w:rsidRPr="00F617D1" w:rsidRDefault="00F617D1" w:rsidP="00EA03B3">
      <w:pPr>
        <w:pStyle w:val="A5-1TextoAcordo"/>
      </w:pPr>
      <w:r w:rsidRPr="00F617D1">
        <w:t xml:space="preserve">§ 1º Inexistindo o valor de que trata o </w:t>
      </w:r>
      <w:r w:rsidRPr="00F617D1">
        <w:rPr>
          <w:i/>
        </w:rPr>
        <w:t>caput</w:t>
      </w:r>
      <w:r w:rsidRPr="00F617D1">
        <w:t xml:space="preserve">, a base de cálculo corresponderá ao montante formado pelo preço praticado pelo remetente, incluídos os valores correspondentes a frete, seguro, impostos, contribuições, e outros encargos transferíveis ou cobrados do destinatário, ainda que por terceiros, adicionado da parcela resultante da aplicação, sobre o referido montante, do percentual de margem de valor agregado </w:t>
      </w:r>
      <w:r w:rsidRPr="00F617D1">
        <w:lastRenderedPageBreak/>
        <w:t>ajustada (“MVA Ajustada”), calculado segundo a fórmula MVA ajustada = [(1+ MVA ST original) x (1 - ALQ inter) / (1- ALQ intra)] -1, onde:</w:t>
      </w:r>
    </w:p>
    <w:p w:rsidR="00F617D1" w:rsidRPr="00F617D1" w:rsidRDefault="00F617D1" w:rsidP="00EA03B3">
      <w:pPr>
        <w:pStyle w:val="A5-1TextoAcordo"/>
      </w:pPr>
      <w:r w:rsidRPr="00F617D1">
        <w:t>I - “MVA ST original” é a margem de valor agregado indicada no Anexo Único deste protocolo;</w:t>
      </w:r>
    </w:p>
    <w:p w:rsidR="00F617D1" w:rsidRPr="00F617D1" w:rsidRDefault="00F617D1" w:rsidP="00EA03B3">
      <w:pPr>
        <w:pStyle w:val="A5-1TextoAcordo"/>
      </w:pPr>
      <w:r w:rsidRPr="00F617D1">
        <w:t>II - “ALQ inter” é o coeficiente correspondente à alíquota interestadual aplicável à operação;</w:t>
      </w:r>
    </w:p>
    <w:p w:rsidR="00F617D1" w:rsidRPr="00F617D1" w:rsidRDefault="00F617D1" w:rsidP="00EA03B3">
      <w:pPr>
        <w:pStyle w:val="A5-1TextoAcordo"/>
      </w:pPr>
      <w:r w:rsidRPr="00F617D1">
        <w:t>III - “ALQ intra” é o coeficiente correspondente à alíquota interna ou percentual de carga tributária efetiva, quando este for inferior à alíquota interna, praticada pelo contribuinte substituído da unidade federada de destino, nas operações com as mesmas mercadorias listadas no Anexo Único.</w:t>
      </w:r>
    </w:p>
    <w:p w:rsidR="00F617D1" w:rsidRPr="00F617D1" w:rsidRDefault="00F617D1" w:rsidP="00EA03B3">
      <w:pPr>
        <w:pStyle w:val="A5-1TextoAcordo"/>
      </w:pPr>
      <w:r w:rsidRPr="00F617D1">
        <w:t>§ 2º</w:t>
      </w:r>
      <w:r w:rsidRPr="00F617D1">
        <w:rPr>
          <w:b/>
        </w:rPr>
        <w:t xml:space="preserve"> </w:t>
      </w:r>
      <w:r w:rsidRPr="00F617D1">
        <w:t>Na hipótese de a "ALQ intra" ser inferior à "ALQ inter", deverá ser aplicada a "MVA - ST original", sem o ajuste previsto no § 1º.</w:t>
      </w:r>
    </w:p>
    <w:p w:rsidR="00F617D1" w:rsidRPr="00F617D1" w:rsidRDefault="00F617D1" w:rsidP="00EA03B3">
      <w:pPr>
        <w:pStyle w:val="A5-1TextoAcordo"/>
      </w:pPr>
      <w:r w:rsidRPr="00F617D1">
        <w:rPr>
          <w:bCs/>
        </w:rPr>
        <w:t>§ 3º</w:t>
      </w:r>
      <w:r w:rsidRPr="00F617D1">
        <w:rPr>
          <w:b/>
          <w:bCs/>
        </w:rPr>
        <w:t xml:space="preserve"> </w:t>
      </w:r>
      <w:r w:rsidRPr="00F617D1">
        <w:t>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neste protocolo.</w:t>
      </w:r>
    </w:p>
    <w:p w:rsidR="00F617D1" w:rsidRPr="00F617D1" w:rsidRDefault="00F617D1" w:rsidP="00EA03B3">
      <w:pPr>
        <w:pStyle w:val="A5-1TextoAcordo"/>
      </w:pPr>
      <w:r w:rsidRPr="00F617D1">
        <w:rPr>
          <w:b/>
        </w:rPr>
        <w:t xml:space="preserve">Cláusula terceira </w:t>
      </w:r>
      <w:r w:rsidRPr="00F617D1">
        <w:t>O imposto a ser retido pelo sujeito passivo por substituição será calculado mediante a aplicação da alíquota vigente para as operações internas a consumidor final na unidade federada de destino, sobre a base de cálculo prevista neste protocolo, deduzindo-se, do valor obtido, o imposto devido pela operação própria do remetente, desde que corretamente destacado no documento fiscal.</w:t>
      </w:r>
    </w:p>
    <w:p w:rsidR="00F617D1" w:rsidRPr="00F617D1" w:rsidRDefault="00F617D1" w:rsidP="00EA03B3">
      <w:pPr>
        <w:pStyle w:val="A5-1TextoAcordo"/>
      </w:pPr>
      <w:r w:rsidRPr="00F617D1">
        <w:rPr>
          <w:b/>
        </w:rPr>
        <w:t>Cláusula quarta</w:t>
      </w:r>
      <w:r w:rsidRPr="00F617D1">
        <w:t xml:space="preserve"> O imposto retido pelo sujeito passivo por substituição regularmente inscrito no cadastro de contribuintes na unidade federada de destino será recolhido até o dia 9 (nove) do mês subsequente ao da remessa da mercadoria, mediante Guia Nacional de Recolhimento de Tributos Estaduais - GNRE - ou outro documento de arrecadação autorizado na legislação da unidade federada destinatária.</w:t>
      </w:r>
    </w:p>
    <w:p w:rsidR="00F617D1" w:rsidRPr="00F617D1" w:rsidRDefault="00F617D1" w:rsidP="00EA03B3">
      <w:pPr>
        <w:pStyle w:val="A5-1TextoAcordo"/>
      </w:pPr>
      <w:r w:rsidRPr="00F617D1">
        <w:rPr>
          <w:b/>
        </w:rPr>
        <w:t>Cláusula quinta</w:t>
      </w:r>
      <w:r w:rsidRPr="00F617D1">
        <w:t xml:space="preserve"> Fica condicionada a aplicação deste protocolo à mercadoria para a qual exista previsão da substituição tributária na legislação interna do estado signatário de destino.</w:t>
      </w:r>
    </w:p>
    <w:p w:rsidR="00F617D1" w:rsidRPr="00F617D1" w:rsidRDefault="00F617D1" w:rsidP="00EA03B3">
      <w:pPr>
        <w:pStyle w:val="A5-1TextoAcordo"/>
      </w:pPr>
      <w:r w:rsidRPr="00F617D1">
        <w:rPr>
          <w:bCs/>
        </w:rPr>
        <w:t>Parágrafo único</w:t>
      </w:r>
      <w:r w:rsidRPr="00F617D1">
        <w:t>. O Estado de Goiás deverá observar, em relação às operações internas com as mercadorias mencionadas no Anexo Único, as mesmas regras de definição de base de cálculo e as mesmas margens de valor agregado previstas neste protocolo.</w:t>
      </w:r>
    </w:p>
    <w:p w:rsidR="00F617D1" w:rsidRPr="00F617D1" w:rsidRDefault="00F617D1" w:rsidP="00EA03B3">
      <w:pPr>
        <w:pStyle w:val="A5-1TextoAcordo"/>
      </w:pPr>
      <w:r w:rsidRPr="00F617D1">
        <w:rPr>
          <w:b/>
        </w:rPr>
        <w:t>Cláusula sexta</w:t>
      </w:r>
      <w:r w:rsidRPr="00F617D1">
        <w:t xml:space="preserve"> Este protocolo poderá ser denunciado, em conjunto ou isoladamente, pelos signatários, desde que comunicado com antecedência mínima de 30 (trinta) dias.</w:t>
      </w:r>
    </w:p>
    <w:p w:rsidR="00F617D1" w:rsidRPr="00F617D1" w:rsidRDefault="00F617D1" w:rsidP="00EA03B3">
      <w:pPr>
        <w:pStyle w:val="A5-1TextoAcordo"/>
      </w:pPr>
      <w:r w:rsidRPr="00F617D1">
        <w:rPr>
          <w:b/>
        </w:rPr>
        <w:t xml:space="preserve">Cláusula sétima </w:t>
      </w:r>
      <w:r w:rsidRPr="00F617D1">
        <w:t>Este protocolo entra em vigor na data de sua publicação no Diário Oficial da União, produzindo seus efeitos a partir de 1º de janeiro de 2012.</w:t>
      </w:r>
    </w:p>
    <w:p w:rsidR="00F617D1" w:rsidRPr="00F617D1" w:rsidRDefault="00F617D1" w:rsidP="0094128D">
      <w:pPr>
        <w:tabs>
          <w:tab w:val="left" w:pos="1418"/>
        </w:tabs>
        <w:spacing w:before="120" w:after="100" w:afterAutospacing="1"/>
        <w:ind w:firstLine="1134"/>
        <w:jc w:val="both"/>
        <w:rPr>
          <w:rFonts w:ascii="Arial" w:hAnsi="Arial" w:cs="Arial"/>
          <w:sz w:val="20"/>
          <w:szCs w:val="20"/>
        </w:rPr>
      </w:pPr>
    </w:p>
    <w:p w:rsidR="00F617D1" w:rsidRPr="0094128D" w:rsidRDefault="00F617D1" w:rsidP="00FE08F1">
      <w:pPr>
        <w:pStyle w:val="A6-1Subtitulo"/>
      </w:pPr>
      <w:r w:rsidRPr="0094128D">
        <w:t>ANEXO ÚNICO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1529"/>
        <w:gridCol w:w="5089"/>
        <w:gridCol w:w="1194"/>
      </w:tblGrid>
      <w:tr w:rsidR="00F617D1" w:rsidRPr="0094128D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E08F1" w:rsidRDefault="00F617D1" w:rsidP="007542CF">
            <w:pPr>
              <w:pStyle w:val="A7-1TabelaSubtitulo"/>
            </w:pPr>
            <w:r w:rsidRPr="00FE08F1">
              <w:t>Item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E08F1" w:rsidRDefault="00F617D1" w:rsidP="00FE08F1">
            <w:pPr>
              <w:pStyle w:val="A7-1TabelaSubtitulo"/>
            </w:pPr>
            <w:r w:rsidRPr="00FE08F1">
              <w:t>NCM/SH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E08F1" w:rsidRDefault="00F617D1" w:rsidP="00FE08F1">
            <w:pPr>
              <w:pStyle w:val="A7-1TabelaSubtitulo"/>
            </w:pPr>
            <w:r w:rsidRPr="00FE08F1">
              <w:t>Descrição das mercadorias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E08F1" w:rsidRDefault="00F617D1" w:rsidP="007542CF">
            <w:pPr>
              <w:pStyle w:val="A7-1TabelaSubtitulo"/>
            </w:pPr>
            <w:r w:rsidRPr="00FE08F1">
              <w:t>MVA (%) ORIGINAL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 xml:space="preserve">3816.00.1 </w:t>
            </w:r>
            <w:r w:rsidRPr="00F617D1">
              <w:rPr>
                <w:bCs/>
              </w:rPr>
              <w:br/>
              <w:t>3824.50.00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Argamassas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39.16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 xml:space="preserve">Revestimentos de PVC e outros plásticos; forro, </w:t>
            </w:r>
            <w:proofErr w:type="spellStart"/>
            <w:r w:rsidRPr="00F617D1">
              <w:rPr>
                <w:bCs/>
              </w:rPr>
              <w:t>sancas</w:t>
            </w:r>
            <w:proofErr w:type="spellEnd"/>
            <w:r w:rsidRPr="00F617D1">
              <w:rPr>
                <w:bCs/>
              </w:rPr>
              <w:t xml:space="preserve"> e afins de PVC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39.17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Tubos, e seus acessórios (por exemplo, juntas, cotovelos, flanges, uniões), de plásticos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39.18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Revestimento de pavimento de PVC e outros plásticos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39.19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Chapas, folhas, tiras, fitas, películas e outras formas planas, auto-adesivas, de plásticos, mesmo em rolos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39.19 </w:t>
            </w:r>
            <w:r w:rsidRPr="00F617D1">
              <w:br/>
              <w:t xml:space="preserve">39.20 </w:t>
            </w:r>
            <w:r w:rsidRPr="00F617D1">
              <w:br/>
              <w:t xml:space="preserve">39.21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Veda rosca, lona plástica, fitas isolantes e afins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39.21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i/>
              </w:rPr>
              <w:t>Chapas, laminados plásticos em bobina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39.22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Banheiras, boxes para chuveiros, pias, lavatórios, bidês, sanitários e seus assentos e tampas, caixas de descarga e artigos semelhantes para usos sanitários ou higiênicos, de plásticos.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39.24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Artefatos de </w:t>
            </w:r>
            <w:proofErr w:type="gramStart"/>
            <w:r w:rsidRPr="00F617D1">
              <w:t>higiene  /</w:t>
            </w:r>
            <w:proofErr w:type="gramEnd"/>
            <w:r w:rsidRPr="00F617D1">
              <w:t xml:space="preserve"> toucador de plástico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3925.20.00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Portas, janelas e afins, de plástico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lastRenderedPageBreak/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3925.30.00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Postigos, estores (incluídas as venezianas) e artefatos semelhantes e suas partes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3926.90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i/>
              </w:rPr>
              <w:t>Outras obras de plástico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4005.91.90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Fitas emborrachadas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40.09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Tubos de borracha vulcanizada não endurecida, mesmo providos dos respectivos acessórios (por exemplo, juntas, cotovelos, flanges, uniões)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4016.91.00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Revestimentos para pavimentos (pisos) e capachos de borracha vulcanizada não endurecida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  <w:p w:rsidR="00F617D1" w:rsidRPr="00F617D1" w:rsidRDefault="00F617D1" w:rsidP="007542CF">
            <w:pPr>
              <w:pStyle w:val="A7-2Tabelajustificado"/>
              <w:jc w:val="center"/>
            </w:pP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4016.93.00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Juntas, gaxetas e semelhantes, de borracha vulcanizada não endurecida, para uso não automotivo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44.08 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 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Folhas para folheados (incluídas as obtidas por corte de madeira estratificada), folhas para compensados (contraplacados) ou para outras madeiras estratificadas semelhantes e outras madeiras, serradas longitudinalmente, cortadas em folhas ou desenroladas, mesmo aplainadas, polidas, unidas pelas bordas ou pelas extremidades, de espessura não superior a 6mm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  <w:p w:rsidR="00F617D1" w:rsidRPr="00F617D1" w:rsidRDefault="00F617D1" w:rsidP="007542CF">
            <w:pPr>
              <w:pStyle w:val="A7-2Tabelajustificado"/>
              <w:jc w:val="center"/>
            </w:pP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44.09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Pisos de madeira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4410.11.21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Painéis de partículas, painéis denominados “</w:t>
            </w:r>
            <w:proofErr w:type="spellStart"/>
            <w:r w:rsidRPr="00F617D1">
              <w:t>oriented</w:t>
            </w:r>
            <w:proofErr w:type="spellEnd"/>
            <w:r w:rsidRPr="00F617D1">
              <w:t xml:space="preserve"> </w:t>
            </w:r>
            <w:proofErr w:type="spellStart"/>
            <w:r w:rsidRPr="00F617D1">
              <w:t>strand</w:t>
            </w:r>
            <w:proofErr w:type="spellEnd"/>
            <w:r w:rsidRPr="00F617D1">
              <w:t xml:space="preserve"> </w:t>
            </w:r>
            <w:proofErr w:type="spellStart"/>
            <w:r w:rsidRPr="00F617D1">
              <w:t>board</w:t>
            </w:r>
            <w:proofErr w:type="spellEnd"/>
            <w:r w:rsidRPr="00F617D1">
              <w:t>” (OSB) e painéis semelhantes (por exemplo, “</w:t>
            </w:r>
            <w:proofErr w:type="spellStart"/>
            <w:r w:rsidRPr="00F617D1">
              <w:t>waferboard</w:t>
            </w:r>
            <w:proofErr w:type="spellEnd"/>
            <w:r w:rsidRPr="00F617D1">
              <w:t xml:space="preserve">”), de madeira ou de outras matérias lenhosas, recobertos na superfície com papel impregnado de </w:t>
            </w:r>
            <w:proofErr w:type="spellStart"/>
            <w:r w:rsidRPr="00F617D1">
              <w:t>melamina</w:t>
            </w:r>
            <w:proofErr w:type="spellEnd"/>
            <w:r w:rsidRPr="00F617D1">
              <w:t xml:space="preserve">, mesmo aglomeradas com resinas ou com outros aglutinantes orgânicos, em ambas as faces, com película protetora na face superior e trabalho de encaixe nas quatro laterais, dos tipos utilizados para pavimentos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44.11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Pisos laminados com base de MDF (Médium </w:t>
            </w:r>
            <w:proofErr w:type="spellStart"/>
            <w:r w:rsidRPr="00F617D1">
              <w:t>Density</w:t>
            </w:r>
            <w:proofErr w:type="spellEnd"/>
            <w:r w:rsidRPr="00F617D1">
              <w:t xml:space="preserve"> </w:t>
            </w:r>
            <w:proofErr w:type="spellStart"/>
            <w:r w:rsidRPr="00F617D1">
              <w:t>Fiberboard</w:t>
            </w:r>
            <w:proofErr w:type="spellEnd"/>
            <w:r w:rsidRPr="00F617D1">
              <w:t xml:space="preserve">) e/ou madeira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44.18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Obras de marcenaria ou de carpintaria, incluídos os painéis celulares, os painéis montados para revestimento de pavimentos (pisos) e as fasquias para telhados “</w:t>
            </w:r>
            <w:proofErr w:type="spellStart"/>
            <w:r w:rsidRPr="00F617D1">
              <w:rPr>
                <w:bCs/>
              </w:rPr>
              <w:t>shingles</w:t>
            </w:r>
            <w:proofErr w:type="spellEnd"/>
            <w:r w:rsidRPr="00F617D1">
              <w:rPr>
                <w:bCs/>
              </w:rPr>
              <w:t xml:space="preserve"> e </w:t>
            </w:r>
            <w:proofErr w:type="spellStart"/>
            <w:r w:rsidRPr="00F617D1">
              <w:rPr>
                <w:bCs/>
              </w:rPr>
              <w:t>shakes</w:t>
            </w:r>
            <w:proofErr w:type="spellEnd"/>
            <w:r w:rsidRPr="00F617D1">
              <w:rPr>
                <w:bCs/>
              </w:rPr>
              <w:t xml:space="preserve">”, de madeira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48.14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Papel de parede e revestimentos de parede semelhantes; papel para vitrais.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57.03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Tapetes e outros revestimentos para pavimentos (pisos), de matérias têxteis, tufados, mesmo confeccionados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57.04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Tapetes e outros revestimentos para pavimentos (pisos), de feltro, exceto os tufados e os flocados, mesmo confeccionados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59.04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Linóleos, mesmo recortados, revestimentos para pavimentos (pisos) constituídos por um induto ou recobrimento aplicado sobre suporte têxtil, mesmo recortados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63.03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Persianas de materiais têxteis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68.02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Ladrilhos de mármores, </w:t>
            </w:r>
            <w:proofErr w:type="spellStart"/>
            <w:r w:rsidRPr="00F617D1">
              <w:t>travertinos</w:t>
            </w:r>
            <w:proofErr w:type="spellEnd"/>
            <w:r w:rsidRPr="00F617D1">
              <w:t xml:space="preserve">, lajotas, </w:t>
            </w:r>
            <w:proofErr w:type="spellStart"/>
            <w:r w:rsidRPr="00F617D1">
              <w:t>quadrotes</w:t>
            </w:r>
            <w:proofErr w:type="spellEnd"/>
            <w:r w:rsidRPr="00F617D1">
              <w:t xml:space="preserve">, alabastro, ônix e outras rochas </w:t>
            </w:r>
            <w:proofErr w:type="spellStart"/>
            <w:r w:rsidRPr="00F617D1">
              <w:t>carbonáticas</w:t>
            </w:r>
            <w:proofErr w:type="spellEnd"/>
            <w:r w:rsidRPr="00F617D1">
              <w:t xml:space="preserve">, e ladrilhos de granito, </w:t>
            </w:r>
            <w:proofErr w:type="spellStart"/>
            <w:r w:rsidRPr="00F617D1">
              <w:t>cianito</w:t>
            </w:r>
            <w:proofErr w:type="spellEnd"/>
            <w:r w:rsidRPr="00F617D1">
              <w:t xml:space="preserve">, </w:t>
            </w:r>
            <w:proofErr w:type="spellStart"/>
            <w:r w:rsidRPr="00F617D1">
              <w:t>charnokito</w:t>
            </w:r>
            <w:proofErr w:type="spellEnd"/>
            <w:r w:rsidRPr="00F617D1">
              <w:t xml:space="preserve">, diorito, basalto e outras rochas </w:t>
            </w:r>
            <w:proofErr w:type="spellStart"/>
            <w:r w:rsidRPr="00F617D1">
              <w:t>silicáticas</w:t>
            </w:r>
            <w:proofErr w:type="spellEnd"/>
            <w:r w:rsidRPr="00F617D1">
              <w:t>, com área de até 2m</w:t>
            </w:r>
            <w:r w:rsidRPr="00F617D1">
              <w:rPr>
                <w:vertAlign w:val="superscript"/>
              </w:rPr>
              <w:t>2</w:t>
            </w:r>
            <w:r w:rsidRPr="00F617D1"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68.05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Abrasivos naturais ou artificiais, em pó ou em grãos, aplicados sobre matérias têxteis, papel, cartão ou outras matérias, mesmo recortados, costurados ou reunidos de outro modo.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6808.00.00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Painéis, chapas, ladrilhos, blocos e semelhantes, de fibras vegetais, de palha ou de aparas, partículas, serragem (serradura) ou de outros desperdícios de madeira, aglomerados com cimento, gesso ou outros aglutinantes minerais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</w:tc>
      </w:tr>
      <w:tr w:rsidR="003244EF" w:rsidRPr="00F617D1" w:rsidTr="003244EF">
        <w:trPr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3244EF" w:rsidRDefault="003244EF" w:rsidP="003244EF">
            <w:pPr>
              <w:pStyle w:val="A7-2Tabelajustificado"/>
              <w:jc w:val="left"/>
              <w:rPr>
                <w:color w:val="C00000"/>
              </w:rPr>
            </w:pPr>
            <w:r w:rsidRPr="003244EF">
              <w:rPr>
                <w:color w:val="C00000"/>
              </w:rPr>
              <w:t>Nova redação dada ao item 30 pelo Prot. ICMS 11/15, efeitos a partir de 14.4.15.</w:t>
            </w:r>
          </w:p>
        </w:tc>
      </w:tr>
      <w:tr w:rsidR="003244EF" w:rsidRPr="00F617D1" w:rsidTr="003244E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F773B5" w:rsidRDefault="003244EF" w:rsidP="003244EF">
            <w:pPr>
              <w:spacing w:before="100" w:beforeAutospacing="1" w:after="100" w:afterAutospacing="1"/>
            </w:pPr>
            <w:r w:rsidRPr="00F773B5"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F773B5" w:rsidRDefault="003244EF" w:rsidP="003244EF">
            <w:pPr>
              <w:spacing w:before="100" w:beforeAutospacing="1" w:after="100" w:afterAutospacing="1"/>
            </w:pPr>
            <w:r w:rsidRPr="00F773B5">
              <w:t>68.09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F773B5" w:rsidRDefault="003244EF" w:rsidP="003244EF">
            <w:pPr>
              <w:spacing w:before="100" w:beforeAutospacing="1" w:after="100" w:afterAutospacing="1"/>
            </w:pPr>
            <w:r w:rsidRPr="00F773B5">
              <w:t>Obras de gesso ou de composições à base de gesso exceto as imagens religiosas, decorativas e estatuetas, classificadas no NCM/SH 6809.90.00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F773B5" w:rsidRDefault="003244EF" w:rsidP="003244EF">
            <w:pPr>
              <w:spacing w:before="100" w:beforeAutospacing="1" w:after="100" w:afterAutospacing="1"/>
              <w:jc w:val="center"/>
            </w:pPr>
            <w:r w:rsidRPr="00F773B5">
              <w:t>30</w:t>
            </w:r>
          </w:p>
        </w:tc>
      </w:tr>
      <w:tr w:rsidR="003244EF" w:rsidRPr="00F617D1" w:rsidTr="003244EF">
        <w:trPr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EF" w:rsidRPr="003244EF" w:rsidRDefault="003244EF" w:rsidP="003244EF">
            <w:pPr>
              <w:pStyle w:val="A7-2Tabelajustificado"/>
              <w:jc w:val="left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Redação original</w:t>
            </w:r>
            <w:bookmarkStart w:id="0" w:name="_GoBack"/>
            <w:bookmarkEnd w:id="0"/>
            <w:r w:rsidRPr="003244EF">
              <w:rPr>
                <w:color w:val="70AD47" w:themeColor="accent6"/>
              </w:rPr>
              <w:t>, efeitos até 13.4.15.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3244EF" w:rsidRDefault="00F617D1" w:rsidP="007542CF">
            <w:pPr>
              <w:pStyle w:val="A7-2Tabelajustificado"/>
              <w:jc w:val="center"/>
              <w:rPr>
                <w:color w:val="70AD47" w:themeColor="accent6"/>
              </w:rPr>
            </w:pPr>
            <w:r w:rsidRPr="003244EF">
              <w:rPr>
                <w:color w:val="70AD47" w:themeColor="accent6"/>
              </w:rPr>
              <w:lastRenderedPageBreak/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3244EF" w:rsidRDefault="00F617D1" w:rsidP="00FE08F1">
            <w:pPr>
              <w:pStyle w:val="A7-2Tabelajustificado"/>
              <w:rPr>
                <w:color w:val="70AD47" w:themeColor="accent6"/>
              </w:rPr>
            </w:pPr>
            <w:r w:rsidRPr="003244EF">
              <w:rPr>
                <w:color w:val="70AD47" w:themeColor="accent6"/>
              </w:rPr>
              <w:t xml:space="preserve">68.09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3244EF" w:rsidRDefault="00F617D1" w:rsidP="00FE08F1">
            <w:pPr>
              <w:pStyle w:val="A7-2Tabelajustificado"/>
              <w:rPr>
                <w:color w:val="70AD47" w:themeColor="accent6"/>
              </w:rPr>
            </w:pPr>
            <w:r w:rsidRPr="003244EF">
              <w:rPr>
                <w:color w:val="70AD47" w:themeColor="accent6"/>
              </w:rPr>
              <w:t xml:space="preserve">Obras de gesso ou de composições à base de gesso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3244EF" w:rsidRDefault="00F617D1" w:rsidP="007542CF">
            <w:pPr>
              <w:pStyle w:val="A7-2Tabelajustificado"/>
              <w:jc w:val="center"/>
              <w:rPr>
                <w:color w:val="70AD47" w:themeColor="accent6"/>
              </w:rPr>
            </w:pPr>
            <w:r w:rsidRPr="003244EF">
              <w:rPr>
                <w:color w:val="70AD47" w:themeColor="accent6"/>
              </w:rPr>
              <w:t>30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68.10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Obras de cimento, de concreto ou de pedra artificial, mesmo armadas, exceto poste acima de </w:t>
            </w:r>
            <w:smartTag w:uri="urn:schemas-microsoft-com:office:smarttags" w:element="metricconverter">
              <w:smartTagPr>
                <w:attr w:name="ProductID" w:val="3 m"/>
              </w:smartTagPr>
              <w:r w:rsidRPr="00F617D1">
                <w:t>3 m</w:t>
              </w:r>
            </w:smartTag>
            <w:r w:rsidRPr="00F617D1">
              <w:t xml:space="preserve"> de altura e tubos, laje, pré laje e mourões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69.07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 xml:space="preserve">69.08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Ladrilhos e placas de cerâmica, exclusivamente para pavimentação ou revestimento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69.10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Pias, lavatórios, colunas para lavatórios, banheiras, bidês, sanitários, caixas de descarga, mictórios e aparelhos fixos semelhantes para usos sanitários, de cerâmica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6912.00.00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Artefatos de higiene/toucador de cerâmica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70.03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 vazado ou laminado, em chapas, folhas ou perfis, mesmo com camada absorvente, refletora ou não, mas sem qualquer outro trabalho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70.04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 estirado ou soprado, em folhas, mesmo com camada absorvente, refletora ou não, mas sem qualquer outro trabalho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70.05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 </w:t>
            </w:r>
            <w:proofErr w:type="spellStart"/>
            <w:r w:rsidRPr="00F617D1">
              <w:t>flotado</w:t>
            </w:r>
            <w:proofErr w:type="spellEnd"/>
            <w:r w:rsidRPr="00F617D1">
              <w:t xml:space="preserve"> e vidro desbastado ou polido em uma ou em ambas as faces, em chapas ou em folhas, mesmo com camada absorvente, refletora ou não, mas sem qualquer outro trabalho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7007.19.00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Vidros temperados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7007.29.00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Vidros laminados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7008.00.00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Vidros isolantes de paredes múltiplas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70.09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Espelhos de vidro, mesmo emoldurados, excluídos os de uso automotivo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70.16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Blocos, placas, tijolos, ladrilhos, telhas e outros artefatos, de vidro prensado ou moldado, mesmo armado; cubos, pastilhas e outros artigos semelhantes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61,20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70.19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 xml:space="preserve">90.19 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Banheira de hidromassagem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72.13 7214.20.00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7308.90.10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Vergalhões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7214.20.00, 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7308.90.10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Barras próprias para construções, exceto os vergalhões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7217.10.90 </w:t>
            </w:r>
            <w:r w:rsidRPr="00F617D1">
              <w:br/>
              <w:t xml:space="preserve">73.12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Fios de ferro ou aço não ligados, não revestidos, mesmo polidos, cordas, cabos, tranças (entrançados), lingas</w:t>
            </w:r>
            <w:r w:rsidRPr="00F617D1">
              <w:rPr>
                <w:color w:val="1F497D"/>
              </w:rPr>
              <w:t xml:space="preserve"> e</w:t>
            </w:r>
            <w:r w:rsidRPr="00F617D1">
              <w:t xml:space="preserve"> artefatos semelhantes, de ferro ou aço, não isolados para usos elétricos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7217.20.90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Outros fios de ferro ou aço, não ligados, galvanizados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73.07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Acessórios para tubos (inclusive uniões, cotovelos, luvas ou mangas), de ferro fundido,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7308.30.00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Portas e janelas, e seus caixilhos, </w:t>
            </w:r>
            <w:proofErr w:type="spellStart"/>
            <w:r w:rsidRPr="00F617D1">
              <w:t>alizares</w:t>
            </w:r>
            <w:proofErr w:type="spellEnd"/>
            <w:r w:rsidRPr="00F617D1">
              <w:t xml:space="preserve"> e soleiras de ferro fundido,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7308.40.00 7308.90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Material para andaimes, para armações (</w:t>
            </w:r>
            <w:proofErr w:type="spellStart"/>
            <w:r w:rsidRPr="00F617D1">
              <w:rPr>
                <w:bCs/>
              </w:rPr>
              <w:t>cofragens</w:t>
            </w:r>
            <w:proofErr w:type="spellEnd"/>
            <w:r w:rsidRPr="00F617D1">
              <w:rPr>
                <w:bCs/>
              </w:rPr>
              <w:t>) e para escoramentos, (inclusive armações prontas, para estruturas de concreto armado ou argamassa armada), eletrocalhas e perfilados de ferro fundido, ferro ou aço, próprios para construção civil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73.10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Caixas diversas (tais como caixa de correio, de entrada de água, de energia, de instalação) de ferro ou aço próprias para construção civil; de ferro fundido, ferro ou aço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59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7313.00.00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Arame farpado, de ferro ou aço arames ou tiras, retorcidos, mesmo farpados, de ferro ou aço, dos tipos utilizados em cercas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73.14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Telas metálicas, grades e redes, de fios de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7315.11.00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Correntes de rolos, de ferro fundido,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7315.12.90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Outras correntes de elos articulados, de ferro fundido,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rPr>
                <w:bCs/>
              </w:rPr>
              <w:t>69,43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7315.82.00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Correntes de elos soldados, de ferro fundido, de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lastRenderedPageBreak/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7317.00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Tachas, pregos, percevejos, escápulas, grampos ondulados ou biselados e artefatos semelhantes, de ferro fundido, ferro ou aço, mesmo com a cabeça de outra matéria, exceto cobre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73.18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Parafusos, pinos ou pernos, roscados, porcas, tira-fundos, ganchos roscados, rebites, chavetas, cavilhas, contrapinos, arruelas (incluídas as de pressão) e artefatos semelhantes, de ferro fundido,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505BC1" w:rsidRDefault="00F617D1" w:rsidP="007542CF">
            <w:pPr>
              <w:pStyle w:val="A7-2Tabelajustificado"/>
              <w:jc w:val="center"/>
              <w:rPr>
                <w:color w:val="000000"/>
              </w:rPr>
            </w:pPr>
            <w:r w:rsidRPr="00505BC1">
              <w:rPr>
                <w:color w:val="000000"/>
              </w:rPr>
              <w:t>46</w:t>
            </w:r>
          </w:p>
        </w:tc>
      </w:tr>
      <w:tr w:rsidR="00F617D1" w:rsidRPr="00F617D1" w:rsidTr="007542CF">
        <w:trPr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505BC1" w:rsidRDefault="00F617D1" w:rsidP="007542CF">
            <w:pPr>
              <w:spacing w:before="60" w:after="60"/>
              <w:ind w:left="141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FF0000"/>
                <w:sz w:val="20"/>
                <w:szCs w:val="20"/>
              </w:rPr>
              <w:t>Nova redação dada ao item 59 pelo Prot. 120/12, com efeitos a partir de 01</w:t>
            </w:r>
            <w:r w:rsidR="000C00A2">
              <w:rPr>
                <w:rFonts w:ascii="Arial" w:hAnsi="Arial" w:cs="Arial"/>
                <w:color w:val="FF0000"/>
                <w:sz w:val="20"/>
                <w:szCs w:val="20"/>
              </w:rPr>
              <w:t>.10.</w:t>
            </w:r>
            <w:r w:rsidRPr="00505BC1"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59.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7323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color w:val="000000"/>
              </w:rPr>
              <w:t>Esponjas, esfregões, luvas e artefatos semelhantes para limpeza, polimento e usos semelhantes, de ferro ou aço, exceto as esponjas de lã de aço ou ferro para limpeza doméstica, classificadas na posição 7323.10.00 da NCM/SH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69,13</w:t>
            </w:r>
          </w:p>
        </w:tc>
      </w:tr>
      <w:tr w:rsidR="00F617D1" w:rsidRPr="00F617D1" w:rsidTr="007542CF">
        <w:trPr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505BC1" w:rsidRDefault="00505BC1" w:rsidP="007542CF">
            <w:pPr>
              <w:spacing w:before="60" w:after="60"/>
              <w:ind w:left="2268" w:firstLine="1418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>Redação original, e</w:t>
            </w:r>
            <w:r w:rsidR="00F617D1" w:rsidRPr="00505BC1">
              <w:rPr>
                <w:rFonts w:ascii="Arial" w:hAnsi="Arial" w:cs="Arial"/>
                <w:color w:val="008000"/>
                <w:sz w:val="20"/>
                <w:szCs w:val="20"/>
              </w:rPr>
              <w:t>feitos</w:t>
            </w: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 xml:space="preserve"> de 01.01.12</w:t>
            </w:r>
            <w:r w:rsidR="00050576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>até 30.</w:t>
            </w:r>
            <w:r w:rsidR="00F617D1" w:rsidRPr="00505BC1">
              <w:rPr>
                <w:rFonts w:ascii="Arial" w:hAnsi="Arial" w:cs="Arial"/>
                <w:color w:val="008000"/>
                <w:sz w:val="20"/>
                <w:szCs w:val="20"/>
              </w:rPr>
              <w:t>09</w:t>
            </w: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>.</w:t>
            </w:r>
            <w:r w:rsidR="00F617D1" w:rsidRPr="00505BC1">
              <w:rPr>
                <w:rFonts w:ascii="Arial" w:hAnsi="Arial" w:cs="Arial"/>
                <w:color w:val="008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: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505BC1" w:rsidRDefault="00F617D1" w:rsidP="007542CF">
            <w:pPr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>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505BC1" w:rsidRDefault="00F617D1" w:rsidP="00F617D1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 xml:space="preserve">73.23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505BC1" w:rsidRDefault="00F617D1" w:rsidP="00F617D1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 xml:space="preserve">Esponjas, esfregões, luvas e artefatos semelhantes para limpeza, polimento e usos semelhantes, de ferro ou aço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505BC1" w:rsidRDefault="00F617D1" w:rsidP="007542CF">
            <w:pPr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05BC1">
              <w:rPr>
                <w:rFonts w:ascii="Arial" w:hAnsi="Arial" w:cs="Arial"/>
                <w:color w:val="008000"/>
                <w:sz w:val="20"/>
                <w:szCs w:val="20"/>
              </w:rPr>
              <w:t>69,13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73.24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Artefatos de higiene ou de toucador, e suas partes; pias, banheiras, lavatórios, cubas, mictórios, tanques e afins de ferro fundido, ferro ou aço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73.25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Outras obras moldadas, de ferro fundido, ferro ou aço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73.26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Abraçadeiras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74.07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Barra de cobre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38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7411.10.10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Tubos de cobre e suas ligas, para instalações de água quente e gás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74.12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Acessórios para tubos (por exemplo, uniões, cotovelos, luvas ou mangas) de cobre e suas ligas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74.15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Tachas, pregos, percevejos, escápulas e artefatos semelhantes, de cobre, ou de ferro ou aço com cabeça de cobre, parafusos, pinos ou pernos, roscados, porcas, ganchos roscados, rebites, chavetas, cavilhas, contrapinos, arruelas (incluídas as de pressão), e artefatos semelhantes, de cobre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7418.20.00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Artefatos de higiene/toucador de cobre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7607.19.90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Manta de subcobertura </w:t>
            </w:r>
            <w:proofErr w:type="spellStart"/>
            <w:r w:rsidRPr="00F617D1">
              <w:t>aluminizada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7609.00.00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Acessórios para tubos (por exemplo, uniões, cotovelos, luvas ou mangas), de alumínio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76.10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 xml:space="preserve">Construções e suas partes (inclusive pontes e elementos de pontes, torres, pórticos, pilares, colunas, armações, estruturas para telhados, portas e janelas, e seus caixilhos, </w:t>
            </w:r>
            <w:proofErr w:type="spellStart"/>
            <w:r w:rsidRPr="00F617D1">
              <w:rPr>
                <w:bCs/>
              </w:rPr>
              <w:t>alizares</w:t>
            </w:r>
            <w:proofErr w:type="spellEnd"/>
            <w:r w:rsidRPr="00F617D1">
              <w:rPr>
                <w:bCs/>
              </w:rPr>
              <w:t xml:space="preserve"> e soleiras, balaustradas, e estruturas de box), de alumínio, exceto as construções, pré-fabricadas da posição 94.06; chapas, barras, perfis, tubos e semelhantes, de alumínio, próprios para construção civil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32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7615.20.00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Artefatos de higiene/toucador de alumínio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76.16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 xml:space="preserve">Outras obras de alumínio, próprias para construção civil, incluídas as persianas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8302.4 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76.16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Outras guarnições, ferragens e artigos semelhantes de metais comuns, para construção civil, inclusive puxadores, exceto persianas de alumínio constantes do item 76.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83.01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Cadeados, fechaduras e ferrolhos (de chave, de segredo ou elétricos), de metais comuns, incluídas as suas partes fechos e armações com fecho, com fechadura, de metais comuns chaves para estes artigos, de metais comuns, excluídos os de uso automotivo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8302.10.00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Dobradiças de metais comuns, de qualquer tipo.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46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8302.50.00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proofErr w:type="spellStart"/>
            <w:r w:rsidRPr="00F617D1">
              <w:t>Pateras</w:t>
            </w:r>
            <w:proofErr w:type="spellEnd"/>
            <w:r w:rsidRPr="00F617D1">
              <w:t xml:space="preserve">, porta-chapéus, cabides, e artigos semelhantes de metais comuns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50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83.07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rPr>
                <w:bCs/>
              </w:rPr>
              <w:t>Tubos flexíveis de metais comuns, mesmo com acessórios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37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83.11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Fios, varetas, tubos, chapas, eletrodos e artefatos semelhantes, de metais comuns ou de carbonetos metálicos, </w:t>
            </w:r>
            <w:proofErr w:type="gramStart"/>
            <w:r w:rsidRPr="00F617D1">
              <w:lastRenderedPageBreak/>
              <w:t>revestidos exterior</w:t>
            </w:r>
            <w:proofErr w:type="gramEnd"/>
            <w:r w:rsidRPr="00F617D1">
              <w:t xml:space="preserve"> ou interiormente de decapantes ou de fundentes, para soldagem (soldadura) ou depósito de metal ou de carbonetos metálicos fios e varetas de pós de metais comuns aglomerados, para metalização por projeção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lastRenderedPageBreak/>
              <w:t>41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lastRenderedPageBreak/>
              <w:t>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8419.1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Aquecedores de água não elétricos, de aquecimento instantâneo ou de acumulação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33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84.81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 xml:space="preserve">Torneiras, válvulas (incluídas as redutoras de pressão e as termostáticas) e dispositivos semelhantes, para canalizações, caldeiras, reservatórios, cubas e outros recipientes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34</w:t>
            </w:r>
          </w:p>
        </w:tc>
      </w:tr>
      <w:tr w:rsidR="00F617D1" w:rsidRPr="00F617D1" w:rsidTr="007542CF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8515.90.00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>8515.1</w:t>
            </w:r>
          </w:p>
          <w:p w:rsidR="00F617D1" w:rsidRPr="00F617D1" w:rsidRDefault="00F617D1" w:rsidP="00FE08F1">
            <w:pPr>
              <w:pStyle w:val="A7-2Tabelajustificado"/>
            </w:pPr>
            <w:r w:rsidRPr="00F617D1">
              <w:t xml:space="preserve">8515.2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1" w:rsidRPr="00F617D1" w:rsidRDefault="00F617D1" w:rsidP="00FE08F1">
            <w:pPr>
              <w:pStyle w:val="A7-2Tabelajustificado"/>
            </w:pPr>
            <w:r w:rsidRPr="00F617D1">
              <w:t>Partes de máquinas e aparelhos para soldadura forte ou fraca e de máquinas e aparelhos para soldar metais por resistência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1" w:rsidRPr="00F617D1" w:rsidRDefault="00F617D1" w:rsidP="007542CF">
            <w:pPr>
              <w:pStyle w:val="A7-2Tabelajustificado"/>
              <w:jc w:val="center"/>
            </w:pPr>
            <w:r w:rsidRPr="00F617D1">
              <w:t>39</w:t>
            </w:r>
          </w:p>
        </w:tc>
      </w:tr>
    </w:tbl>
    <w:p w:rsidR="00F617D1" w:rsidRPr="00F617D1" w:rsidRDefault="00F617D1" w:rsidP="00F617D1">
      <w:pPr>
        <w:jc w:val="both"/>
        <w:rPr>
          <w:rFonts w:ascii="Arial" w:hAnsi="Arial" w:cs="Arial"/>
          <w:sz w:val="20"/>
          <w:szCs w:val="20"/>
        </w:rPr>
      </w:pPr>
    </w:p>
    <w:sectPr w:rsidR="00F617D1" w:rsidRPr="00F617D1" w:rsidSect="009F7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B7" w:rsidRDefault="00CA6CB7" w:rsidP="000045AA">
      <w:r>
        <w:separator/>
      </w:r>
    </w:p>
  </w:endnote>
  <w:endnote w:type="continuationSeparator" w:id="0">
    <w:p w:rsidR="00CA6CB7" w:rsidRDefault="00CA6CB7" w:rsidP="0000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B7" w:rsidRDefault="00CA6CB7" w:rsidP="000045AA">
      <w:r>
        <w:separator/>
      </w:r>
    </w:p>
  </w:footnote>
  <w:footnote w:type="continuationSeparator" w:id="0">
    <w:p w:rsidR="00CA6CB7" w:rsidRDefault="00CA6CB7" w:rsidP="0000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AA" w:rsidRDefault="000045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1A96EA"/>
    <w:lvl w:ilvl="0">
      <w:numFmt w:val="decimal"/>
      <w:pStyle w:val="A2DataPublicacao"/>
      <w:lvlText w:val="*"/>
      <w:lvlJc w:val="left"/>
    </w:lvl>
  </w:abstractNum>
  <w:abstractNum w:abstractNumId="1">
    <w:nsid w:val="0476496F"/>
    <w:multiLevelType w:val="hybridMultilevel"/>
    <w:tmpl w:val="B6E86E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D1"/>
    <w:rsid w:val="000045AA"/>
    <w:rsid w:val="00006638"/>
    <w:rsid w:val="0002541B"/>
    <w:rsid w:val="00050576"/>
    <w:rsid w:val="0008279C"/>
    <w:rsid w:val="000C00A2"/>
    <w:rsid w:val="000D552B"/>
    <w:rsid w:val="000F347C"/>
    <w:rsid w:val="003244EF"/>
    <w:rsid w:val="00443C36"/>
    <w:rsid w:val="004E5FD5"/>
    <w:rsid w:val="004F4A99"/>
    <w:rsid w:val="00505BC1"/>
    <w:rsid w:val="007542CF"/>
    <w:rsid w:val="007D3C03"/>
    <w:rsid w:val="008826CC"/>
    <w:rsid w:val="0091507B"/>
    <w:rsid w:val="0094128D"/>
    <w:rsid w:val="009F780D"/>
    <w:rsid w:val="00AF011B"/>
    <w:rsid w:val="00BB01B8"/>
    <w:rsid w:val="00BF59D9"/>
    <w:rsid w:val="00CA6CB7"/>
    <w:rsid w:val="00D623A1"/>
    <w:rsid w:val="00EA03B3"/>
    <w:rsid w:val="00F617D1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1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541B"/>
    <w:pPr>
      <w:keepNext/>
      <w:widowControl w:val="0"/>
      <w:shd w:val="clear" w:color="auto" w:fill="E6E6E6"/>
      <w:suppressAutoHyphens/>
      <w:spacing w:before="240" w:after="60" w:line="360" w:lineRule="auto"/>
      <w:outlineLvl w:val="0"/>
    </w:pPr>
    <w:rPr>
      <w:rFonts w:ascii="Arial" w:hAnsi="Arial"/>
      <w:b/>
      <w:bCs/>
      <w:kern w:val="1"/>
      <w:sz w:val="28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02541B"/>
    <w:pPr>
      <w:keepNext/>
      <w:widowControl w:val="0"/>
      <w:suppressAutoHyphens/>
      <w:spacing w:before="240" w:after="60" w:line="360" w:lineRule="auto"/>
      <w:outlineLvl w:val="1"/>
    </w:pPr>
    <w:rPr>
      <w:rFonts w:ascii="Arial" w:hAnsi="Arial"/>
      <w:b/>
      <w:bCs/>
      <w:i/>
      <w:iCs/>
      <w:sz w:val="26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2541B"/>
    <w:pPr>
      <w:keepNext/>
      <w:widowControl w:val="0"/>
      <w:suppressAutoHyphens/>
      <w:spacing w:before="240" w:after="60" w:line="360" w:lineRule="auto"/>
      <w:outlineLvl w:val="2"/>
    </w:pPr>
    <w:rPr>
      <w:rFonts w:ascii="Arial" w:hAnsi="Arial"/>
      <w:b/>
      <w:bCs/>
      <w:i/>
      <w:lang w:val="x-none" w:eastAsia="x-none"/>
    </w:rPr>
  </w:style>
  <w:style w:type="paragraph" w:styleId="Ttulo4">
    <w:name w:val="heading 4"/>
    <w:basedOn w:val="Ttulo3"/>
    <w:next w:val="Normal"/>
    <w:link w:val="Ttulo4Char"/>
    <w:uiPriority w:val="9"/>
    <w:qFormat/>
    <w:rsid w:val="0002541B"/>
    <w:pPr>
      <w:outlineLvl w:val="3"/>
    </w:pPr>
    <w:rPr>
      <w:szCs w:val="28"/>
    </w:rPr>
  </w:style>
  <w:style w:type="paragraph" w:styleId="Ttulo5">
    <w:name w:val="heading 5"/>
    <w:basedOn w:val="Normal"/>
    <w:next w:val="Normal"/>
    <w:link w:val="Ttulo5Char"/>
    <w:qFormat/>
    <w:rsid w:val="0002541B"/>
    <w:pPr>
      <w:widowControl w:val="0"/>
      <w:suppressAutoHyphens/>
      <w:spacing w:before="240" w:after="60" w:line="36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02541B"/>
    <w:pPr>
      <w:keepNext/>
      <w:widowControl w:val="0"/>
      <w:suppressAutoHyphens/>
      <w:ind w:right="-994"/>
      <w:outlineLvl w:val="8"/>
    </w:pPr>
    <w:rPr>
      <w:rFonts w:ascii="Arial" w:eastAsia="SimSun" w:hAnsi="Arial" w:cs="Tahoma"/>
      <w:b/>
      <w:kern w:val="1"/>
      <w:lang w:val="x-none" w:eastAsia="en-US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1-1TituloAcordo">
    <w:name w:val="A1-1_Titulo Acordo*"/>
    <w:rsid w:val="0002541B"/>
    <w:pPr>
      <w:spacing w:after="360"/>
      <w:jc w:val="center"/>
    </w:pPr>
    <w:rPr>
      <w:rFonts w:ascii="Arial" w:hAnsi="Arial"/>
      <w:b/>
      <w:sz w:val="28"/>
    </w:rPr>
  </w:style>
  <w:style w:type="paragraph" w:customStyle="1" w:styleId="A1-2TituloAcordoDP">
    <w:name w:val="A1-2_Titulo Acordo_DP*"/>
    <w:rsid w:val="0002541B"/>
    <w:pPr>
      <w:spacing w:after="120"/>
      <w:jc w:val="center"/>
    </w:pPr>
    <w:rPr>
      <w:rFonts w:ascii="Arial" w:hAnsi="Arial"/>
      <w:b/>
      <w:sz w:val="28"/>
    </w:rPr>
  </w:style>
  <w:style w:type="paragraph" w:customStyle="1" w:styleId="A2DataPublicacao">
    <w:name w:val="A2_Data Publicacao*"/>
    <w:basedOn w:val="Normal"/>
    <w:rsid w:val="0002541B"/>
    <w:pPr>
      <w:numPr>
        <w:numId w:val="2"/>
      </w:numPr>
      <w:ind w:right="2268"/>
      <w:jc w:val="both"/>
    </w:pPr>
    <w:rPr>
      <w:rFonts w:ascii="Arial" w:hAnsi="Arial"/>
      <w:b/>
      <w:color w:val="FF0000"/>
      <w:sz w:val="20"/>
      <w:szCs w:val="20"/>
    </w:rPr>
  </w:style>
  <w:style w:type="paragraph" w:customStyle="1" w:styleId="A3Ementa">
    <w:name w:val="A3_Ementa*"/>
    <w:rsid w:val="0002541B"/>
    <w:pPr>
      <w:widowControl w:val="0"/>
      <w:spacing w:before="360" w:after="300"/>
      <w:ind w:left="3969"/>
      <w:jc w:val="both"/>
    </w:pPr>
    <w:rPr>
      <w:rFonts w:ascii="Arial" w:hAnsi="Arial" w:cs="Arial"/>
      <w:b/>
    </w:rPr>
  </w:style>
  <w:style w:type="paragraph" w:customStyle="1" w:styleId="A4AcordoTipo">
    <w:name w:val="A4_Acordo Tipo*"/>
    <w:rsid w:val="0002541B"/>
    <w:pPr>
      <w:spacing w:before="360" w:after="360"/>
      <w:jc w:val="center"/>
    </w:pPr>
    <w:rPr>
      <w:rFonts w:ascii="Arial" w:hAnsi="Arial" w:cs="Arial"/>
      <w:spacing w:val="70"/>
    </w:rPr>
  </w:style>
  <w:style w:type="paragraph" w:customStyle="1" w:styleId="A5-1TextoAcordo">
    <w:name w:val="A5-1_Texto Acordo*"/>
    <w:rsid w:val="0002541B"/>
    <w:pPr>
      <w:spacing w:before="60" w:after="120"/>
      <w:ind w:firstLine="1134"/>
      <w:jc w:val="both"/>
    </w:pPr>
    <w:rPr>
      <w:rFonts w:ascii="Arial" w:hAnsi="Arial" w:cs="Arial"/>
    </w:rPr>
  </w:style>
  <w:style w:type="paragraph" w:customStyle="1" w:styleId="A5-2NovaRedacao">
    <w:name w:val="A5-2_Nova Redacao*"/>
    <w:basedOn w:val="Normal"/>
    <w:rsid w:val="0002541B"/>
    <w:pPr>
      <w:numPr>
        <w:ilvl w:val="12"/>
      </w:numPr>
      <w:spacing w:after="120"/>
      <w:ind w:left="1985"/>
      <w:jc w:val="both"/>
    </w:pPr>
    <w:rPr>
      <w:rFonts w:ascii="Arial" w:hAnsi="Arial"/>
      <w:sz w:val="20"/>
      <w:szCs w:val="20"/>
    </w:rPr>
  </w:style>
  <w:style w:type="paragraph" w:customStyle="1" w:styleId="A6-1Subtitulo">
    <w:name w:val="A6-1_Subtitulo*"/>
    <w:rsid w:val="0002541B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6-2SubtituloDP">
    <w:name w:val="A6-2_Subtitulo_DP*"/>
    <w:basedOn w:val="Normal"/>
    <w:rsid w:val="0002541B"/>
    <w:pPr>
      <w:spacing w:before="60" w:after="360"/>
      <w:jc w:val="center"/>
    </w:pPr>
    <w:rPr>
      <w:rFonts w:ascii="Arial" w:hAnsi="Arial"/>
      <w:sz w:val="20"/>
      <w:szCs w:val="20"/>
    </w:rPr>
  </w:style>
  <w:style w:type="paragraph" w:customStyle="1" w:styleId="A7-1TabelaSubtitulo">
    <w:name w:val="A7-1_Tabela Subtitulo*"/>
    <w:basedOn w:val="Normal"/>
    <w:rsid w:val="0002541B"/>
    <w:pPr>
      <w:spacing w:before="28" w:after="28"/>
      <w:jc w:val="center"/>
    </w:pPr>
    <w:rPr>
      <w:rFonts w:ascii="Arial" w:hAnsi="Arial"/>
      <w:sz w:val="18"/>
    </w:rPr>
  </w:style>
  <w:style w:type="paragraph" w:customStyle="1" w:styleId="A7-2Tabelajustificado">
    <w:name w:val="A7-2_Tabela justificado*"/>
    <w:basedOn w:val="Normal"/>
    <w:rsid w:val="0002541B"/>
    <w:pPr>
      <w:spacing w:before="28" w:after="28"/>
      <w:jc w:val="both"/>
    </w:pPr>
    <w:rPr>
      <w:rFonts w:ascii="Arial" w:hAnsi="Arial"/>
      <w:sz w:val="18"/>
    </w:rPr>
  </w:style>
  <w:style w:type="paragraph" w:customStyle="1" w:styleId="A7-3Tabelaesquerda">
    <w:name w:val="A7-3_Tabela esquerda*"/>
    <w:basedOn w:val="Normal"/>
    <w:rsid w:val="0002541B"/>
    <w:pPr>
      <w:spacing w:before="28" w:after="28"/>
    </w:pPr>
    <w:rPr>
      <w:rFonts w:ascii="Arial" w:hAnsi="Arial"/>
      <w:sz w:val="18"/>
    </w:rPr>
  </w:style>
  <w:style w:type="paragraph" w:customStyle="1" w:styleId="A7-4Tabeladireita">
    <w:name w:val="A7-4_Tabela direita*"/>
    <w:basedOn w:val="Normal"/>
    <w:rsid w:val="0002541B"/>
    <w:pPr>
      <w:spacing w:before="28" w:after="28"/>
      <w:jc w:val="right"/>
    </w:pPr>
    <w:rPr>
      <w:rFonts w:ascii="Arial" w:hAnsi="Arial"/>
      <w:sz w:val="18"/>
    </w:rPr>
  </w:style>
  <w:style w:type="paragraph" w:customStyle="1" w:styleId="A8-1Remissao">
    <w:name w:val="A8-1_Remissao*"/>
    <w:rsid w:val="0002541B"/>
    <w:pPr>
      <w:spacing w:before="60" w:after="60"/>
      <w:ind w:left="1418"/>
      <w:jc w:val="both"/>
    </w:pPr>
    <w:rPr>
      <w:rFonts w:ascii="Arial" w:hAnsi="Arial" w:cs="Arial"/>
      <w:color w:val="FF0000"/>
    </w:rPr>
  </w:style>
  <w:style w:type="paragraph" w:customStyle="1" w:styleId="A8-2RemissaoAnt">
    <w:name w:val="A8-2_Remissao Ant*"/>
    <w:rsid w:val="0002541B"/>
    <w:pPr>
      <w:spacing w:before="60" w:after="60"/>
      <w:ind w:left="2268"/>
      <w:jc w:val="both"/>
    </w:pPr>
    <w:rPr>
      <w:rFonts w:ascii="Arial" w:hAnsi="Arial" w:cs="Arial"/>
      <w:b/>
      <w:color w:val="008000"/>
    </w:rPr>
  </w:style>
  <w:style w:type="paragraph" w:customStyle="1" w:styleId="A8-3RedacaoAnt">
    <w:name w:val="A8-3_Redacao Ant*"/>
    <w:rsid w:val="0002541B"/>
    <w:pPr>
      <w:spacing w:after="120"/>
      <w:ind w:left="2268" w:firstLine="680"/>
      <w:jc w:val="both"/>
    </w:pPr>
    <w:rPr>
      <w:rFonts w:ascii="Arial" w:hAnsi="Arial" w:cs="Arial"/>
      <w:color w:val="008000"/>
    </w:rPr>
  </w:style>
  <w:style w:type="paragraph" w:customStyle="1" w:styleId="A9-1TabelaSubtituloverde">
    <w:name w:val="A9-1_Tabela Subtitulo verde*"/>
    <w:basedOn w:val="A7-1TabelaSubtitulo"/>
    <w:rsid w:val="0002541B"/>
    <w:rPr>
      <w:color w:val="008000"/>
    </w:rPr>
  </w:style>
  <w:style w:type="paragraph" w:customStyle="1" w:styleId="A9-2Tabelajustificadoverde">
    <w:name w:val="A9-2_Tabela justificado verde*"/>
    <w:basedOn w:val="A7-2Tabelajustificado"/>
    <w:rsid w:val="0002541B"/>
    <w:rPr>
      <w:color w:val="008000"/>
    </w:rPr>
  </w:style>
  <w:style w:type="paragraph" w:customStyle="1" w:styleId="A9-3Tabelaesquerdaverde">
    <w:name w:val="A9-3_Tabela esquerda verde*"/>
    <w:basedOn w:val="A7-3Tabelaesquerda"/>
    <w:rsid w:val="0002541B"/>
    <w:rPr>
      <w:color w:val="008000"/>
    </w:rPr>
  </w:style>
  <w:style w:type="paragraph" w:customStyle="1" w:styleId="A9-4Tabeladireitaverde">
    <w:name w:val="A9-4_Tabela direita verde*"/>
    <w:basedOn w:val="A7-4Tabeladireita"/>
    <w:rsid w:val="0002541B"/>
    <w:rPr>
      <w:color w:val="008000"/>
    </w:rPr>
  </w:style>
  <w:style w:type="paragraph" w:styleId="Cabealho">
    <w:name w:val="header"/>
    <w:basedOn w:val="Normal"/>
    <w:link w:val="CabealhoChar"/>
    <w:uiPriority w:val="99"/>
    <w:unhideWhenUsed/>
    <w:rsid w:val="0002541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02541B"/>
    <w:rPr>
      <w:sz w:val="24"/>
      <w:szCs w:val="24"/>
    </w:rPr>
  </w:style>
  <w:style w:type="character" w:styleId="HiperlinkVisitado">
    <w:name w:val="FollowedHyperlink"/>
    <w:rsid w:val="0002541B"/>
    <w:rPr>
      <w:rFonts w:ascii="Arial" w:hAnsi="Arial"/>
      <w:color w:val="800080"/>
      <w:sz w:val="20"/>
      <w:u w:val="single"/>
    </w:rPr>
  </w:style>
  <w:style w:type="character" w:styleId="Hyperlink">
    <w:name w:val="Hyperlink"/>
    <w:rsid w:val="0002541B"/>
    <w:rPr>
      <w:rFonts w:ascii="Arial" w:hAnsi="Arial"/>
      <w:color w:val="0000FF"/>
      <w:sz w:val="20"/>
      <w:u w:val="single"/>
    </w:rPr>
  </w:style>
  <w:style w:type="paragraph" w:styleId="Rodap">
    <w:name w:val="footer"/>
    <w:basedOn w:val="Normal"/>
    <w:link w:val="RodapChar"/>
    <w:uiPriority w:val="99"/>
    <w:unhideWhenUsed/>
    <w:rsid w:val="0002541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02541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02541B"/>
    <w:rPr>
      <w:rFonts w:ascii="Arial" w:hAnsi="Arial"/>
      <w:b/>
      <w:bCs/>
      <w:kern w:val="1"/>
      <w:sz w:val="28"/>
      <w:szCs w:val="32"/>
      <w:shd w:val="clear" w:color="auto" w:fill="E6E6E6"/>
    </w:rPr>
  </w:style>
  <w:style w:type="character" w:customStyle="1" w:styleId="Ttulo2Char">
    <w:name w:val="Título 2 Char"/>
    <w:link w:val="Ttulo2"/>
    <w:rsid w:val="0002541B"/>
    <w:rPr>
      <w:rFonts w:ascii="Arial" w:hAnsi="Arial"/>
      <w:b/>
      <w:bCs/>
      <w:i/>
      <w:iCs/>
      <w:sz w:val="26"/>
      <w:szCs w:val="28"/>
    </w:rPr>
  </w:style>
  <w:style w:type="character" w:customStyle="1" w:styleId="Ttulo3Char">
    <w:name w:val="Título 3 Char"/>
    <w:link w:val="Ttulo3"/>
    <w:uiPriority w:val="9"/>
    <w:rsid w:val="0002541B"/>
    <w:rPr>
      <w:rFonts w:ascii="Arial" w:hAnsi="Arial"/>
      <w:b/>
      <w:bCs/>
      <w:i/>
      <w:sz w:val="24"/>
      <w:szCs w:val="24"/>
    </w:rPr>
  </w:style>
  <w:style w:type="character" w:customStyle="1" w:styleId="Ttulo4Char">
    <w:name w:val="Título 4 Char"/>
    <w:link w:val="Ttulo4"/>
    <w:uiPriority w:val="9"/>
    <w:rsid w:val="0002541B"/>
    <w:rPr>
      <w:rFonts w:ascii="Arial" w:hAnsi="Arial"/>
      <w:b/>
      <w:bCs/>
      <w:i/>
      <w:sz w:val="24"/>
      <w:szCs w:val="28"/>
    </w:rPr>
  </w:style>
  <w:style w:type="character" w:customStyle="1" w:styleId="Ttulo5Char">
    <w:name w:val="Título 5 Char"/>
    <w:link w:val="Ttulo5"/>
    <w:rsid w:val="0002541B"/>
    <w:rPr>
      <w:rFonts w:ascii="Arial" w:hAnsi="Arial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02541B"/>
    <w:rPr>
      <w:rFonts w:ascii="Arial" w:eastAsia="SimSun" w:hAnsi="Arial" w:cs="Tahoma"/>
      <w:b/>
      <w:kern w:val="1"/>
      <w:sz w:val="24"/>
      <w:szCs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fazenda.gov.br/AppData/Atos/Despacho/2011/DP235_11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fazenda.gov.br/AppData/Atos/Despacho/2011/DP184_11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1.fazenda.gov.br/confaz/confaz/protocolos/ICMS/2013/PT158_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fazenda.gov.br/confaz/confaz/protocolos/ICMS/2012/PT120_12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2688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Links>
    <vt:vector size="24" baseType="variant">
      <vt:variant>
        <vt:i4>196720</vt:i4>
      </vt:variant>
      <vt:variant>
        <vt:i4>9</vt:i4>
      </vt:variant>
      <vt:variant>
        <vt:i4>0</vt:i4>
      </vt:variant>
      <vt:variant>
        <vt:i4>5</vt:i4>
      </vt:variant>
      <vt:variant>
        <vt:lpwstr>http://www1.fazenda.gov.br/confaz/confaz/protocolos/ICMS/2013/PT158_13.htm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http://www1.fazenda.gov.br/confaz/confaz/protocolos/ICMS/2012/PT120_12.htm</vt:lpwstr>
      </vt:variant>
      <vt:variant>
        <vt:lpwstr/>
      </vt:variant>
      <vt:variant>
        <vt:i4>5570672</vt:i4>
      </vt:variant>
      <vt:variant>
        <vt:i4>3</vt:i4>
      </vt:variant>
      <vt:variant>
        <vt:i4>0</vt:i4>
      </vt:variant>
      <vt:variant>
        <vt:i4>5</vt:i4>
      </vt:variant>
      <vt:variant>
        <vt:lpwstr>http://www1.fazenda.gov.br/AppData/Atos/Despacho/2011/DP235_11.htm</vt:lpwstr>
      </vt:variant>
      <vt:variant>
        <vt:lpwstr/>
      </vt:variant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http://www1.fazenda.gov.br/AppData/Atos/Despacho/2011/DP184_11.htm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2015-05-11T20:25:00Z</dcterms:created>
  <dcterms:modified xsi:type="dcterms:W3CDTF">2015-05-12T13:32:00Z</dcterms:modified>
</cp:coreProperties>
</file>