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7FA" w:rsidRPr="006777FA" w:rsidRDefault="006777FA" w:rsidP="006777F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77FA">
        <w:rPr>
          <w:rFonts w:ascii="Times New Roman" w:eastAsia="Times New Roman" w:hAnsi="Times New Roman" w:cs="Arial"/>
          <w:b/>
          <w:bCs/>
          <w:sz w:val="20"/>
          <w:szCs w:val="20"/>
          <w:lang w:eastAsia="ar-SA"/>
        </w:rPr>
        <w:t> </w:t>
      </w:r>
    </w:p>
    <w:p w:rsidR="00ED1A7C" w:rsidRDefault="00ED1A7C" w:rsidP="00ED1A7C">
      <w:pPr>
        <w:pStyle w:val="tituloacordo"/>
      </w:pPr>
      <w:bookmarkStart w:id="0" w:name="S100"/>
      <w:r>
        <w:t>PROTOCOLO ICMS 54, DE 5 DE JUNHO DE 20</w:t>
      </w:r>
      <w:bookmarkEnd w:id="0"/>
      <w:r>
        <w:t>12</w:t>
      </w:r>
    </w:p>
    <w:p w:rsidR="00ED1A7C" w:rsidRDefault="00ED1A7C" w:rsidP="00ED1A7C">
      <w:pPr>
        <w:pStyle w:val="datapublicao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r>
        <w:t xml:space="preserve">Publicado no DOU de 06.06.12, pelo Despacho </w:t>
      </w:r>
      <w:hyperlink r:id="rId4" w:history="1">
        <w:r>
          <w:rPr>
            <w:rStyle w:val="Hyperlink"/>
          </w:rPr>
          <w:t>92/12</w:t>
        </w:r>
      </w:hyperlink>
      <w:r>
        <w:t>.</w:t>
      </w:r>
    </w:p>
    <w:p w:rsidR="00ED1A7C" w:rsidRDefault="00ED1A7C" w:rsidP="00ED1A7C">
      <w:pPr>
        <w:pStyle w:val="datapublicao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r>
        <w:t xml:space="preserve">Revigorado pelo Prot. ICMS </w:t>
      </w:r>
      <w:hyperlink r:id="rId5" w:history="1">
        <w:r>
          <w:rPr>
            <w:rStyle w:val="Hyperlink"/>
          </w:rPr>
          <w:t>33/13</w:t>
        </w:r>
      </w:hyperlink>
      <w:r>
        <w:t xml:space="preserve">, efeitos a partir de 27/03/13 até 31/12/14. </w:t>
      </w:r>
    </w:p>
    <w:p w:rsidR="00ED1A7C" w:rsidRDefault="00ED1A7C" w:rsidP="00ED1A7C">
      <w:pPr>
        <w:pStyle w:val="datapublicao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r>
        <w:t>Ficam convalidados procedimentos entre 01/01/13 até 26/03/13. Convalidação não autoriza restituição ou compensação de importâncias pagas.</w:t>
      </w:r>
    </w:p>
    <w:p w:rsidR="003D2846" w:rsidRDefault="003D2846" w:rsidP="00ED1A7C">
      <w:pPr>
        <w:pStyle w:val="datapublicao"/>
      </w:pPr>
      <w:r>
        <w:t xml:space="preserve">Exclusão do Estado do Tocantins pelo Prot. ICMS </w:t>
      </w:r>
      <w:r w:rsidRPr="00CF0974">
        <w:rPr>
          <w:color w:val="4472C4" w:themeColor="accent5"/>
        </w:rPr>
        <w:t>72/14</w:t>
      </w:r>
      <w:r>
        <w:t>.</w:t>
      </w:r>
    </w:p>
    <w:p w:rsidR="003D2846" w:rsidRDefault="004116E3" w:rsidP="00ED1A7C">
      <w:pPr>
        <w:pStyle w:val="datapublicao"/>
      </w:pPr>
      <w:r>
        <w:t>Prorrogação do prazo de</w:t>
      </w:r>
      <w:r w:rsidR="003D2846">
        <w:t xml:space="preserve"> vigência pelo Prot. ICMS </w:t>
      </w:r>
      <w:r w:rsidR="003D2846" w:rsidRPr="00CF0974">
        <w:rPr>
          <w:color w:val="4472C4" w:themeColor="accent5"/>
        </w:rPr>
        <w:t>72/14</w:t>
      </w:r>
    </w:p>
    <w:p w:rsidR="00ED1A7C" w:rsidRDefault="00ED1A7C" w:rsidP="00ED1A7C">
      <w:pPr>
        <w:pStyle w:val="ementa"/>
      </w:pPr>
      <w:r>
        <w:t xml:space="preserve">Dispõe sobre a suspensão do ICMS nas saídas de gado para “recurso de pasto”, promovidas entre os Estados da Bahia, </w:t>
      </w:r>
      <w:r w:rsidR="00CF0974">
        <w:t>Espírito Santo, Minas Gerais e</w:t>
      </w:r>
      <w:r>
        <w:t xml:space="preserve"> Sergipe.</w:t>
      </w:r>
    </w:p>
    <w:p w:rsidR="00CF0974" w:rsidRDefault="00CF0974" w:rsidP="00CF0974">
      <w:pPr>
        <w:pStyle w:val="datapublicao"/>
      </w:pPr>
      <w:r w:rsidRPr="00CF0974">
        <w:rPr>
          <w:color w:val="C00000"/>
        </w:rPr>
        <w:t>Exclusão do Estado do Tocantins pelo Prot. ICMS 72/14.</w:t>
      </w:r>
    </w:p>
    <w:p w:rsidR="00ED1A7C" w:rsidRDefault="00CF0974" w:rsidP="00ED1A7C">
      <w:pPr>
        <w:pStyle w:val="textoacordo"/>
      </w:pPr>
      <w:r w:rsidRPr="001708F6">
        <w:rPr>
          <w:b/>
          <w:bCs/>
        </w:rPr>
        <w:t>Os Estados da Bahia, Espírito Santo, Minas Gerais e Sergipe,</w:t>
      </w:r>
      <w:r w:rsidR="00ED1A7C">
        <w:t xml:space="preserve"> neste ato representados pelos seus respectivos Secretários de Estado de Fazenda, Economia ou Finanças, considerando a necessidade de adotar medidas a fim de minimizar os efeitos da estiagem que atinge algumas áreas de seus territórios, e tendo em vista o disposto nos art. 102 e 199 do Código Tributário Nacional (Lei n. 5.172, de 25 de outubro de 1966), e no art. 9º da Lei Complementar n. 87/96, de 13 de setembro de 1996, resolvem celebrar o seguinte</w:t>
      </w:r>
    </w:p>
    <w:p w:rsidR="00ED1A7C" w:rsidRDefault="00ED1A7C" w:rsidP="00ED1A7C">
      <w:pPr>
        <w:pStyle w:val="acordotipo"/>
      </w:pPr>
      <w:r>
        <w:t>P R O T O C O L O</w:t>
      </w:r>
    </w:p>
    <w:p w:rsidR="00ED1A7C" w:rsidRDefault="00ED1A7C" w:rsidP="00ED1A7C">
      <w:pPr>
        <w:pStyle w:val="textoacordo"/>
      </w:pPr>
      <w:r>
        <w:rPr>
          <w:b/>
          <w:bCs/>
        </w:rPr>
        <w:t>Cláusula primeira</w:t>
      </w:r>
      <w:r>
        <w:t xml:space="preserve"> Fica suspenso o ICMS devido pelas saídas de gado entre os Estados signatários, bem como o seu retorno ao Estado de origem, desde que se destinem exclusivamente a "recurso de pasto".</w:t>
      </w:r>
    </w:p>
    <w:p w:rsidR="00ED1A7C" w:rsidRDefault="00ED1A7C" w:rsidP="00ED1A7C">
      <w:pPr>
        <w:pStyle w:val="textoacordo"/>
      </w:pPr>
      <w:r>
        <w:t>§ 1º A suspensão de que trata esta cláusula será por prazo não superior a 180 (cento e oitenta) dias, prorrogável, a critério do fisco, por mais dois períodos de 90 (noventa) dias, a requerimento do interessado.</w:t>
      </w:r>
    </w:p>
    <w:p w:rsidR="00ED1A7C" w:rsidRDefault="00ED1A7C" w:rsidP="00ED1A7C">
      <w:pPr>
        <w:pStyle w:val="textoacordo"/>
      </w:pPr>
      <w:r>
        <w:t>§ 2º A suspensão do imposto será concedida exclusivamente ao gado pertencente a produtores devidamente credenciados pelo órgão estadual competente.</w:t>
      </w:r>
    </w:p>
    <w:p w:rsidR="00ED1A7C" w:rsidRDefault="00ED1A7C" w:rsidP="00ED1A7C">
      <w:pPr>
        <w:pStyle w:val="textoacordo"/>
      </w:pPr>
      <w:r>
        <w:t>§ 3º No ato da expedição da Nota Fiscal para acobertar o trânsito do gado será assinado "Termo de Compromisso", modelo constante do Anexo único, emitido em 03 (três) vias, com a seguinte destinação:</w:t>
      </w:r>
    </w:p>
    <w:p w:rsidR="00ED1A7C" w:rsidRDefault="00ED1A7C" w:rsidP="00ED1A7C">
      <w:pPr>
        <w:pStyle w:val="textoacordo"/>
      </w:pPr>
      <w:r>
        <w:t>I - a 1ª via será retida pelo órgão fiscal da circunscrição do produtor;</w:t>
      </w:r>
    </w:p>
    <w:p w:rsidR="00ED1A7C" w:rsidRDefault="00ED1A7C" w:rsidP="00ED1A7C">
      <w:pPr>
        <w:pStyle w:val="textoacordo"/>
      </w:pPr>
      <w:r>
        <w:t>II - a 2ª via acompanhará o trânsito e será entregue à repartição da circunscrição fiscal de destino, até 10 (dez) dias após o ingresso do gado no Estado destinatário;</w:t>
      </w:r>
    </w:p>
    <w:p w:rsidR="00ED1A7C" w:rsidRDefault="00ED1A7C" w:rsidP="00ED1A7C">
      <w:pPr>
        <w:pStyle w:val="textoacordo"/>
      </w:pPr>
      <w:r>
        <w:lastRenderedPageBreak/>
        <w:t>III - a 3ª via será entregue ao produtor para fins de controle e arquivamento.</w:t>
      </w:r>
    </w:p>
    <w:p w:rsidR="00ED1A7C" w:rsidRDefault="00ED1A7C" w:rsidP="00ED1A7C">
      <w:pPr>
        <w:pStyle w:val="textoacordo"/>
      </w:pPr>
      <w:r>
        <w:t>§ 4º A concessão do "recurso de pasto", e a sua prorrogação serão processadas pela repartição fiscal do domicílio do remetente ou na forma como dispuser a Secretaria de Fazenda, Economia ou Finanças do Estado concedente.</w:t>
      </w:r>
    </w:p>
    <w:p w:rsidR="00ED1A7C" w:rsidRDefault="00ED1A7C" w:rsidP="00ED1A7C">
      <w:pPr>
        <w:pStyle w:val="textoacordo"/>
      </w:pPr>
      <w:r>
        <w:rPr>
          <w:b/>
          <w:bCs/>
        </w:rPr>
        <w:t>Cláusula segunda</w:t>
      </w:r>
      <w:r>
        <w:rPr>
          <w:bCs/>
        </w:rPr>
        <w:t xml:space="preserve"> </w:t>
      </w:r>
      <w:r>
        <w:t>Para retorno do gado ao Estado de origem, a repartição fiscal do Estado onde o mesmo se encontra em "recurso de pasto" emitirá a competente Nota Fiscal, na qual fará constar a seguinte observação:</w:t>
      </w:r>
    </w:p>
    <w:p w:rsidR="00ED1A7C" w:rsidRDefault="00ED1A7C" w:rsidP="00ED1A7C">
      <w:pPr>
        <w:pStyle w:val="novaredao"/>
      </w:pPr>
      <w:r>
        <w:t>"GADO EM RETORNO, RECEBIDO PARA RECURSO DE PASTO CONFORME NOTA FISCAL Nº ...... DE......</w:t>
      </w:r>
      <w:proofErr w:type="gramStart"/>
      <w:r>
        <w:t>/....</w:t>
      </w:r>
      <w:proofErr w:type="gramEnd"/>
      <w:r>
        <w:t>./........E............CRIAS".</w:t>
      </w:r>
    </w:p>
    <w:p w:rsidR="00ED1A7C" w:rsidRDefault="00ED1A7C" w:rsidP="00ED1A7C">
      <w:pPr>
        <w:pStyle w:val="textoacordo"/>
      </w:pPr>
      <w:r>
        <w:rPr>
          <w:b/>
          <w:bCs/>
        </w:rPr>
        <w:t>Cláusula terceira</w:t>
      </w:r>
      <w:r>
        <w:rPr>
          <w:bCs/>
        </w:rPr>
        <w:t xml:space="preserve"> </w:t>
      </w:r>
      <w:r>
        <w:t>Ultrapassado o prazo do "recurso de pasto" e não retornando o gado, caberá ao Estado remetente a cobrança do ICMS, com base nos valores vigentes na data do encerramento do prazo concedido.</w:t>
      </w:r>
    </w:p>
    <w:p w:rsidR="00ED1A7C" w:rsidRDefault="00ED1A7C" w:rsidP="00ED1A7C">
      <w:pPr>
        <w:pStyle w:val="textoacordo"/>
      </w:pPr>
      <w:r>
        <w:rPr>
          <w:b/>
        </w:rPr>
        <w:t>Cláusula quarta</w:t>
      </w:r>
      <w:r>
        <w:t xml:space="preserve"> Ocorrendo a venda do gado no Estado destinatário, caberá à repartição daquele Estado exigir o respectivo pagamento do imposto e comunicar ao Estado de origem a referida ocorrência.</w:t>
      </w:r>
    </w:p>
    <w:p w:rsidR="00ED1A7C" w:rsidRDefault="00ED1A7C" w:rsidP="00ED1A7C">
      <w:pPr>
        <w:pStyle w:val="textoacordo"/>
      </w:pPr>
      <w:r>
        <w:rPr>
          <w:b/>
        </w:rPr>
        <w:t>Cláusula quinta</w:t>
      </w:r>
      <w:r>
        <w:t xml:space="preserve"> Ocorrendo a hipótese prevista na cláusula anterior, caberá ao Estado de origem a parcela do imposto correspondente à aplicação da alíquota interestadual, que será recolhida pelo produtor na repartição onde se processou o "recurso de pasto".</w:t>
      </w:r>
    </w:p>
    <w:p w:rsidR="00ED1A7C" w:rsidRDefault="00ED1A7C" w:rsidP="00ED1A7C">
      <w:pPr>
        <w:pStyle w:val="textoacordo"/>
      </w:pPr>
      <w:r>
        <w:t>Parágrafo único. A base de cálculo do imposto é o valor de "pauta fiscal", não podendo ser inferior àquela estabelecida no Estado de destino.</w:t>
      </w:r>
    </w:p>
    <w:p w:rsidR="00ED1A7C" w:rsidRDefault="00ED1A7C" w:rsidP="00ED1A7C">
      <w:pPr>
        <w:pStyle w:val="textoacordo"/>
      </w:pPr>
      <w:r>
        <w:rPr>
          <w:b/>
        </w:rPr>
        <w:t>Cláusula sexta</w:t>
      </w:r>
      <w:r>
        <w:t xml:space="preserve"> As disposições contidas neste Protocolo manterão seus efeitos para regular o retorno do gado, quando este ocorrer após o encerramento do prazo previsto na sua cláusula sétima.</w:t>
      </w:r>
    </w:p>
    <w:p w:rsidR="004116E3" w:rsidRDefault="004116E3" w:rsidP="00ED1A7C">
      <w:pPr>
        <w:pStyle w:val="textoacordo"/>
      </w:pPr>
      <w:r w:rsidRPr="00CF0974">
        <w:rPr>
          <w:color w:val="C00000"/>
        </w:rPr>
        <w:t>Prorrogado o prazo de vigência até 31 de dezembro de 2016 pelo Prot. ICMS 72/14.</w:t>
      </w:r>
    </w:p>
    <w:p w:rsidR="00ED1A7C" w:rsidRDefault="00ED1A7C" w:rsidP="00ED1A7C">
      <w:pPr>
        <w:pStyle w:val="textoacordo"/>
      </w:pPr>
      <w:r>
        <w:rPr>
          <w:b/>
        </w:rPr>
        <w:t>Cláusula sétima</w:t>
      </w:r>
      <w:r>
        <w:rPr>
          <w:bCs/>
        </w:rPr>
        <w:t xml:space="preserve"> </w:t>
      </w:r>
      <w:r>
        <w:t xml:space="preserve">Este protocolo entra em vigor na data de sua publicação no Diário Oficial da União, produzindo efeitos de 1º de maio </w:t>
      </w:r>
      <w:r w:rsidR="00CF0974">
        <w:t>de dezembro de 2012 até 31 de dezembro de 2016.</w:t>
      </w:r>
      <w:bookmarkStart w:id="1" w:name="_GoBack"/>
      <w:bookmarkEnd w:id="1"/>
    </w:p>
    <w:p w:rsidR="00ED1A7C" w:rsidRDefault="00ED1A7C" w:rsidP="00ED1A7C">
      <w:pPr>
        <w:pStyle w:val="subtitulo"/>
      </w:pPr>
      <w:r>
        <w:t> </w:t>
      </w:r>
    </w:p>
    <w:p w:rsidR="00ED1A7C" w:rsidRDefault="00ED1A7C" w:rsidP="00ED1A7C">
      <w:pPr>
        <w:pStyle w:val="tituloacordo"/>
      </w:pPr>
      <w:r>
        <w:t>ANEXO</w:t>
      </w:r>
    </w:p>
    <w:p w:rsidR="00ED1A7C" w:rsidRDefault="00ED1A7C" w:rsidP="00ED1A7C">
      <w:pPr>
        <w:pStyle w:val="subtitulo"/>
      </w:pPr>
      <w:r>
        <w:t>TERMO DE COMPROMISSO</w:t>
      </w:r>
    </w:p>
    <w:p w:rsidR="00ED1A7C" w:rsidRDefault="00ED1A7C" w:rsidP="00ED1A7C">
      <w:pPr>
        <w:pStyle w:val="textoacordo"/>
      </w:pPr>
      <w:r>
        <w:t> </w:t>
      </w:r>
    </w:p>
    <w:p w:rsidR="00ED1A7C" w:rsidRDefault="00ED1A7C" w:rsidP="00ED1A7C">
      <w:pPr>
        <w:pStyle w:val="textoacordo"/>
      </w:pPr>
      <w:r>
        <w:t>Suspensão do ICMS sobre saída de gado, de acordo com o Protocolo ICMS ....../12.</w:t>
      </w:r>
    </w:p>
    <w:p w:rsidR="00ED1A7C" w:rsidRDefault="00ED1A7C" w:rsidP="00ED1A7C">
      <w:pPr>
        <w:pStyle w:val="textoacordo"/>
      </w:pPr>
      <w:r>
        <w:t>IDENTIFICAÇÃO DO REMETENTE</w:t>
      </w:r>
    </w:p>
    <w:p w:rsidR="00ED1A7C" w:rsidRDefault="00ED1A7C" w:rsidP="00ED1A7C">
      <w:pPr>
        <w:pStyle w:val="textoacordo"/>
      </w:pPr>
      <w:r>
        <w:lastRenderedPageBreak/>
        <w:t>NOME:</w:t>
      </w:r>
    </w:p>
    <w:p w:rsidR="00ED1A7C" w:rsidRDefault="00ED1A7C" w:rsidP="00ED1A7C">
      <w:pPr>
        <w:pStyle w:val="textoacordo"/>
      </w:pPr>
      <w:r>
        <w:t>CPF:</w:t>
      </w:r>
    </w:p>
    <w:p w:rsidR="00ED1A7C" w:rsidRDefault="00ED1A7C" w:rsidP="00ED1A7C">
      <w:pPr>
        <w:pStyle w:val="textoacordo"/>
      </w:pPr>
      <w:r>
        <w:t>GCG:</w:t>
      </w:r>
    </w:p>
    <w:p w:rsidR="00ED1A7C" w:rsidRDefault="00ED1A7C" w:rsidP="00ED1A7C">
      <w:pPr>
        <w:pStyle w:val="textoacordo"/>
      </w:pPr>
      <w:r>
        <w:t>IDENTIDADE:</w:t>
      </w:r>
    </w:p>
    <w:p w:rsidR="00ED1A7C" w:rsidRDefault="00ED1A7C" w:rsidP="00ED1A7C">
      <w:pPr>
        <w:pStyle w:val="textoacordo"/>
      </w:pPr>
      <w:r>
        <w:t>PROCEDÊNCIA:</w:t>
      </w:r>
    </w:p>
    <w:p w:rsidR="00ED1A7C" w:rsidRDefault="00ED1A7C" w:rsidP="00ED1A7C">
      <w:pPr>
        <w:pStyle w:val="textoacordo"/>
      </w:pPr>
      <w:r>
        <w:t>NOME DA PROPRIEDADE:</w:t>
      </w:r>
    </w:p>
    <w:p w:rsidR="00ED1A7C" w:rsidRDefault="00ED1A7C" w:rsidP="00ED1A7C">
      <w:pPr>
        <w:pStyle w:val="textoacordo"/>
      </w:pPr>
      <w:r>
        <w:t>DISTRITO:</w:t>
      </w:r>
    </w:p>
    <w:p w:rsidR="00ED1A7C" w:rsidRDefault="00ED1A7C" w:rsidP="00ED1A7C">
      <w:pPr>
        <w:pStyle w:val="textoacordo"/>
      </w:pPr>
      <w:r>
        <w:t>MUNICÍPIO:</w:t>
      </w:r>
    </w:p>
    <w:p w:rsidR="00ED1A7C" w:rsidRDefault="00ED1A7C" w:rsidP="00ED1A7C">
      <w:pPr>
        <w:pStyle w:val="textoacordo"/>
      </w:pPr>
      <w:r>
        <w:t>DESTINO</w:t>
      </w:r>
    </w:p>
    <w:p w:rsidR="00ED1A7C" w:rsidRDefault="00ED1A7C" w:rsidP="00ED1A7C">
      <w:pPr>
        <w:pStyle w:val="textoacordo"/>
      </w:pPr>
      <w:r>
        <w:t>NOME DA PROPRIEDADE:</w:t>
      </w:r>
    </w:p>
    <w:p w:rsidR="00ED1A7C" w:rsidRDefault="00ED1A7C" w:rsidP="00ED1A7C">
      <w:pPr>
        <w:pStyle w:val="textoacordo"/>
      </w:pPr>
      <w:r>
        <w:t>DISTRITO:</w:t>
      </w:r>
    </w:p>
    <w:p w:rsidR="00ED1A7C" w:rsidRDefault="00ED1A7C" w:rsidP="00ED1A7C">
      <w:pPr>
        <w:pStyle w:val="textoacordo"/>
      </w:pPr>
      <w:r>
        <w:t>MUNICÍPIO:</w:t>
      </w:r>
    </w:p>
    <w:p w:rsidR="00ED1A7C" w:rsidRDefault="00ED1A7C" w:rsidP="00ED1A7C">
      <w:pPr>
        <w:pStyle w:val="textoacordo"/>
      </w:pPr>
      <w:r>
        <w:t>QUANTIDADE:</w:t>
      </w:r>
    </w:p>
    <w:p w:rsidR="00ED1A7C" w:rsidRDefault="00ED1A7C" w:rsidP="00ED1A7C">
      <w:pPr>
        <w:pStyle w:val="textoacordo"/>
      </w:pPr>
      <w:r>
        <w:t>VACAS:</w:t>
      </w:r>
    </w:p>
    <w:p w:rsidR="00ED1A7C" w:rsidRDefault="00ED1A7C" w:rsidP="00ED1A7C">
      <w:pPr>
        <w:pStyle w:val="textoacordo"/>
      </w:pPr>
      <w:r>
        <w:t>CRIAS DE LACTAÇÃO:</w:t>
      </w:r>
    </w:p>
    <w:p w:rsidR="00ED1A7C" w:rsidRDefault="00ED1A7C" w:rsidP="00ED1A7C">
      <w:pPr>
        <w:pStyle w:val="textoacordo"/>
      </w:pPr>
      <w:r>
        <w:t>REPRODUTORES:</w:t>
      </w:r>
    </w:p>
    <w:p w:rsidR="00ED1A7C" w:rsidRDefault="00ED1A7C" w:rsidP="00ED1A7C">
      <w:pPr>
        <w:pStyle w:val="textoacordo"/>
      </w:pPr>
      <w:r>
        <w:t>O gado constante da Nota Fiscal nº .................da qual este documento expedido em 03 (três) vias passa a ser parte integrante, será transferido para o local acima, devendo retornar dentro de ................................................</w:t>
      </w:r>
    </w:p>
    <w:p w:rsidR="00ED1A7C" w:rsidRDefault="00ED1A7C" w:rsidP="00ED1A7C">
      <w:pPr>
        <w:pStyle w:val="textoacordo"/>
      </w:pPr>
      <w:r>
        <w:t>Não ocorrendo o retorno dentro deste prazo, responsabilizo-me pelo recolhimento do ICMS devido, cuja base de cálculo será o valor da operação ou o da pauta vigente</w:t>
      </w:r>
      <w:proofErr w:type="gramStart"/>
      <w:r>
        <w:t>.............................................................,..........</w:t>
      </w:r>
      <w:proofErr w:type="gramEnd"/>
      <w:r>
        <w:t xml:space="preserve">de......................... </w:t>
      </w:r>
      <w:proofErr w:type="gramStart"/>
      <w:r>
        <w:t>de</w:t>
      </w:r>
      <w:proofErr w:type="gramEnd"/>
      <w:r>
        <w:t xml:space="preserve"> ..........</w:t>
      </w:r>
    </w:p>
    <w:p w:rsidR="00ED1A7C" w:rsidRDefault="00ED1A7C" w:rsidP="00ED1A7C">
      <w:pPr>
        <w:pStyle w:val="textoacordo"/>
      </w:pPr>
      <w:r>
        <w:t>VISTO:</w:t>
      </w:r>
    </w:p>
    <w:p w:rsidR="00ED1A7C" w:rsidRDefault="00ED1A7C" w:rsidP="00ED1A7C">
      <w:pPr>
        <w:pStyle w:val="textoacordo"/>
      </w:pPr>
      <w:r>
        <w:t>CHEFE DA REPARTIÇÃO FISCAL</w:t>
      </w:r>
    </w:p>
    <w:p w:rsidR="00ED1A7C" w:rsidRDefault="00ED1A7C" w:rsidP="00ED1A7C">
      <w:pPr>
        <w:pStyle w:val="textoacordo"/>
      </w:pPr>
      <w:r>
        <w:t>FLUXO:</w:t>
      </w:r>
    </w:p>
    <w:p w:rsidR="00ED1A7C" w:rsidRDefault="00ED1A7C" w:rsidP="00ED1A7C">
      <w:pPr>
        <w:pStyle w:val="textoacordo"/>
      </w:pPr>
      <w:r>
        <w:t>I - a 1ª via será retida pelo órgão fiscal da circunscrição do produtor;</w:t>
      </w:r>
    </w:p>
    <w:p w:rsidR="00ED1A7C" w:rsidRDefault="00ED1A7C" w:rsidP="00ED1A7C">
      <w:pPr>
        <w:pStyle w:val="textoacordo"/>
      </w:pPr>
      <w:r>
        <w:t>II - a 2ª via acompanhará o trânsito e será entregue à repartição da circunscrição fiscal de destino, até 10 (dez) dias após o ingresso do gado no Estado destinatário;</w:t>
      </w:r>
    </w:p>
    <w:p w:rsidR="00ED1A7C" w:rsidRDefault="00ED1A7C" w:rsidP="00ED1A7C">
      <w:pPr>
        <w:pStyle w:val="textoacordo"/>
      </w:pPr>
      <w:r>
        <w:lastRenderedPageBreak/>
        <w:t>III - a 3ª via será entregue ao produtor para fins de controle e arquivamento.</w:t>
      </w:r>
    </w:p>
    <w:sectPr w:rsidR="00ED1A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13"/>
    <w:rsid w:val="00034531"/>
    <w:rsid w:val="000D377A"/>
    <w:rsid w:val="001708F6"/>
    <w:rsid w:val="003D2846"/>
    <w:rsid w:val="004116E3"/>
    <w:rsid w:val="006777FA"/>
    <w:rsid w:val="00980AC7"/>
    <w:rsid w:val="009B0D13"/>
    <w:rsid w:val="00CF0974"/>
    <w:rsid w:val="00D10F07"/>
    <w:rsid w:val="00EC5972"/>
    <w:rsid w:val="00ED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5C3E0-EEAB-489B-920A-058786C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80A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37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">
    <w:name w:val="ementa"/>
    <w:basedOn w:val="Normal"/>
    <w:rsid w:val="009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1tituloacordo">
    <w:name w:val="1tituloacordo"/>
    <w:basedOn w:val="Normal"/>
    <w:rsid w:val="009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9B0D13"/>
  </w:style>
  <w:style w:type="paragraph" w:styleId="Corpodetexto">
    <w:name w:val="Body Text"/>
    <w:basedOn w:val="Normal"/>
    <w:link w:val="CorpodetextoChar"/>
    <w:uiPriority w:val="99"/>
    <w:semiHidden/>
    <w:unhideWhenUsed/>
    <w:rsid w:val="009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0D1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AC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8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ody1">
    <w:name w:val="body1"/>
    <w:basedOn w:val="Normal"/>
    <w:rsid w:val="0098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37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extodajustif">
    <w:name w:val="textodajustif"/>
    <w:basedOn w:val="Normal"/>
    <w:rsid w:val="000D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D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5acordotipo">
    <w:name w:val="5acordotipo"/>
    <w:basedOn w:val="Normal"/>
    <w:rsid w:val="000D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5-1textoacordo">
    <w:name w:val="a5-1textoacordo"/>
    <w:basedOn w:val="Normal"/>
    <w:rsid w:val="00D1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10F07"/>
    <w:rPr>
      <w:color w:val="0000FF"/>
      <w:u w:val="single"/>
    </w:rPr>
  </w:style>
  <w:style w:type="paragraph" w:customStyle="1" w:styleId="41textoacordo">
    <w:name w:val="41textoacordo"/>
    <w:basedOn w:val="Normal"/>
    <w:rsid w:val="00D1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cordotipo">
    <w:name w:val="acordotipo"/>
    <w:basedOn w:val="Normal"/>
    <w:rsid w:val="00677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3ementa">
    <w:name w:val="3ementa"/>
    <w:basedOn w:val="Normal"/>
    <w:rsid w:val="0017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acordo">
    <w:name w:val="tituloacordo"/>
    <w:basedOn w:val="Normal"/>
    <w:rsid w:val="00ED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atapublicao">
    <w:name w:val="datapublicao"/>
    <w:basedOn w:val="Normal"/>
    <w:rsid w:val="00ED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cordo">
    <w:name w:val="textoacordo"/>
    <w:basedOn w:val="Normal"/>
    <w:rsid w:val="00ED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varedao">
    <w:name w:val="novaredao"/>
    <w:basedOn w:val="Normal"/>
    <w:rsid w:val="00ED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titulo">
    <w:name w:val="subtitulo"/>
    <w:basedOn w:val="Normal"/>
    <w:rsid w:val="00ED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0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1.fazenda.gov.br/confaz/confaz/protocolos/ICMS/2013/PT033_13.htm" TargetMode="External"/><Relationship Id="rId4" Type="http://schemas.openxmlformats.org/officeDocument/2006/relationships/hyperlink" Target="https://www1.fazenda.gov.br/confaz/confaz/Atos/Despacho/2012/DP092_12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854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Coord. da Receita Estadual do Paraná</Company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Vieira de Oliveira</dc:creator>
  <cp:keywords/>
  <dc:description/>
  <cp:lastModifiedBy>sefa</cp:lastModifiedBy>
  <cp:revision>4</cp:revision>
  <dcterms:created xsi:type="dcterms:W3CDTF">2015-01-07T16:50:00Z</dcterms:created>
  <dcterms:modified xsi:type="dcterms:W3CDTF">2015-04-23T19:17:00Z</dcterms:modified>
</cp:coreProperties>
</file>